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广东海事局后勤管理中心2024-2026年度33艘船舶出租项目招标公告</w:t>
      </w:r>
    </w:p>
    <w:p>
      <w:pPr>
        <w:pStyle w:val="2"/>
        <w:rPr>
          <w:rFonts w:hint="eastAsia"/>
        </w:rPr>
      </w:pPr>
    </w:p>
    <w:p>
      <w:pPr>
        <w:widowControl/>
        <w:spacing w:line="580" w:lineRule="atLeas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项目概况</w:t>
      </w:r>
      <w:r>
        <w:rPr>
          <w:rFonts w:hint="eastAsia" w:ascii="仿宋_GB2312" w:hAnsi="仿宋_GB2312" w:eastAsia="仿宋_GB2312" w:cs="仿宋_GB2312"/>
          <w:sz w:val="32"/>
          <w:szCs w:val="32"/>
          <w:lang w:eastAsia="zh-CN"/>
        </w:rPr>
        <w:t>：</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广东海事局后勤管理中心2024-2026年度33艘船舶出租项目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招标项目的潜在投标人应在广州市天河北路626号保利中宇广场A座25楼，电话：020-88260060获取招标文件，并于2024年02月20日 09点30分（北京时间）前递交投标文件。</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52" w:firstLineChars="204"/>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一、项目基本情况</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项目编号：1210-2341YDZB7107</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项目名称：广东海事局后勤管理中心2024-2026年度33艘船舶出租项目</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预算金额：1924.5264万元（人民币）</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采购需求：</w:t>
      </w:r>
    </w:p>
    <w:p>
      <w:pPr>
        <w:widowControl/>
        <w:spacing w:line="580" w:lineRule="atLeas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(1)项目内容</w:t>
      </w:r>
    </w:p>
    <w:tbl>
      <w:tblPr>
        <w:tblStyle w:val="4"/>
        <w:tblW w:w="4922"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265"/>
        <w:gridCol w:w="846"/>
        <w:gridCol w:w="1806"/>
        <w:gridCol w:w="2142"/>
        <w:gridCol w:w="13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1" w:hRule="atLeast"/>
          <w:jc w:val="center"/>
        </w:trPr>
        <w:tc>
          <w:tcPr>
            <w:tcW w:w="1349" w:type="pct"/>
            <w:tcBorders>
              <w:top w:val="single" w:color="auto" w:sz="8" w:space="0"/>
              <w:left w:val="single" w:color="auto" w:sz="8" w:space="0"/>
              <w:bottom w:val="single" w:color="auto" w:sz="8" w:space="0"/>
              <w:right w:val="single" w:color="auto" w:sz="8" w:space="0"/>
            </w:tcBorders>
            <w:shd w:val="clear" w:color="auto" w:fill="EAEAEA"/>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项目内容</w:t>
            </w:r>
          </w:p>
        </w:tc>
        <w:tc>
          <w:tcPr>
            <w:tcW w:w="504" w:type="pct"/>
            <w:tcBorders>
              <w:top w:val="single" w:color="auto" w:sz="8" w:space="0"/>
              <w:left w:val="single" w:color="auto" w:sz="8" w:space="0"/>
              <w:bottom w:val="single" w:color="auto" w:sz="8" w:space="0"/>
              <w:right w:val="single" w:color="auto" w:sz="8" w:space="0"/>
            </w:tcBorders>
            <w:shd w:val="clear" w:color="auto" w:fill="EAEAEA"/>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1076" w:type="pct"/>
            <w:tcBorders>
              <w:top w:val="single" w:color="auto" w:sz="8" w:space="0"/>
              <w:left w:val="single" w:color="auto" w:sz="8" w:space="0"/>
              <w:bottom w:val="single" w:color="auto" w:sz="8" w:space="0"/>
              <w:right w:val="single" w:color="auto" w:sz="8" w:space="0"/>
            </w:tcBorders>
            <w:shd w:val="clear" w:color="auto" w:fill="EAEAEA"/>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最低出租额</w:t>
            </w:r>
          </w:p>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（万元/年）</w:t>
            </w:r>
          </w:p>
        </w:tc>
        <w:tc>
          <w:tcPr>
            <w:tcW w:w="1276" w:type="pct"/>
            <w:tcBorders>
              <w:top w:val="single" w:color="auto" w:sz="8" w:space="0"/>
              <w:left w:val="single" w:color="auto" w:sz="8" w:space="0"/>
              <w:bottom w:val="single" w:color="auto" w:sz="8" w:space="0"/>
              <w:right w:val="single" w:color="auto" w:sz="8" w:space="0"/>
            </w:tcBorders>
            <w:shd w:val="clear" w:color="auto" w:fill="EAEAEA"/>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租赁期</w:t>
            </w:r>
          </w:p>
        </w:tc>
        <w:tc>
          <w:tcPr>
            <w:tcW w:w="793" w:type="pct"/>
            <w:tcBorders>
              <w:top w:val="single" w:color="auto" w:sz="8" w:space="0"/>
              <w:left w:val="single" w:color="auto" w:sz="8" w:space="0"/>
              <w:bottom w:val="single" w:color="auto" w:sz="8" w:space="0"/>
              <w:right w:val="single" w:color="auto" w:sz="8" w:space="0"/>
            </w:tcBorders>
            <w:shd w:val="clear" w:color="auto" w:fill="EAEAEA"/>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所属行业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78" w:hRule="atLeast"/>
          <w:jc w:val="center"/>
        </w:trPr>
        <w:tc>
          <w:tcPr>
            <w:tcW w:w="1349"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广东海事局后勤管理中心2024-2026年度33艘船舶出租</w:t>
            </w:r>
          </w:p>
        </w:tc>
        <w:tc>
          <w:tcPr>
            <w:tcW w:w="504"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w:t>
            </w:r>
          </w:p>
        </w:tc>
        <w:tc>
          <w:tcPr>
            <w:tcW w:w="1076"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1924.5264</w:t>
            </w:r>
          </w:p>
        </w:tc>
        <w:tc>
          <w:tcPr>
            <w:tcW w:w="1276"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合同一签三年（具体服务时间以合同签订之日起算）</w:t>
            </w:r>
          </w:p>
        </w:tc>
        <w:tc>
          <w:tcPr>
            <w:tcW w:w="79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租赁和商务服务业</w:t>
            </w:r>
          </w:p>
        </w:tc>
      </w:tr>
    </w:tbl>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（2）技术要求：详见《用户需求书》</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（3）采购类型：服务类</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（4）本项目为一个整体，投标人须对全部内容进行投标，不得分拆</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）合同履行期限：合同一签三年（具体服务时间以合同签订之日起算）</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不接受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52" w:firstLineChars="204"/>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二、申请人的资格要求：</w:t>
      </w:r>
    </w:p>
    <w:p>
      <w:pPr>
        <w:widowControl/>
        <w:spacing w:line="58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1.满足《中华人民共和国政府采购法》第二十二条规定</w:t>
      </w:r>
      <w:r>
        <w:rPr>
          <w:rFonts w:hint="eastAsia" w:ascii="仿宋_GB2312" w:hAnsi="仿宋_GB2312" w:eastAsia="仿宋_GB2312" w:cs="仿宋_GB2312"/>
          <w:sz w:val="32"/>
          <w:szCs w:val="32"/>
          <w:lang w:eastAsia="zh-CN"/>
        </w:rPr>
        <w:t>。</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2.落实政府采购政策需满足的资格要求：本项目不属于专门面向中小企业采购的项目。</w:t>
      </w:r>
    </w:p>
    <w:p>
      <w:pPr>
        <w:widowControl/>
        <w:numPr>
          <w:ilvl w:val="0"/>
          <w:numId w:val="1"/>
        </w:numPr>
        <w:spacing w:line="580" w:lineRule="atLeas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本项目的特定资格要求：</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供应商是具有独立承担民事责任能力的在中华人民共和国境内注册的法人或其他组织（提供企业法人或者其他组织营业执照（或事业法人登记证或身份证等相关证明）副本复印件，分支机构投标，须取得具有法人资格的总公司出具给分支机构的授权书，并提供总公司和分支机构的营业执照复印件。已由总公司授权的，总公司取得的相关资质证书对分支机构有效，法律法规或者行业另有规定的除外）</w:t>
      </w:r>
      <w:r>
        <w:rPr>
          <w:rFonts w:hint="eastAsia" w:ascii="仿宋_GB2312" w:hAnsi="仿宋_GB2312" w:eastAsia="仿宋_GB2312" w:cs="仿宋_GB2312"/>
          <w:sz w:val="32"/>
          <w:szCs w:val="32"/>
          <w:lang w:eastAsia="zh-CN"/>
        </w:rPr>
        <w:t>；</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供应商具有良好的商业信誉和健全的财务会计制度（提供书面声明）；</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供应商有依法缴纳税收和社会保障资金的良好记录（提供书面声明）；</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供应商具有履行合同所必需的设备和专业技术能力（提供证明材料或书面声明）；</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参加政府采购活动前三年内，在经营活动中没有重大违法记录【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提供书面声明）；</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供应商符合法律、行政法规规定的其他条件（提供书面声明）；</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供应商未被列入“中国执行信息公开网”（zxgk.court.gov.cn）“记录失信被执行人”；“信用中国”</w:t>
      </w:r>
      <w:r>
        <w:rPr>
          <w:rFonts w:hint="eastAsia" w:ascii="仿宋_GB2312" w:hAnsi="仿宋_GB2312" w:eastAsia="仿宋_GB2312" w:cs="仿宋_GB2312"/>
          <w:sz w:val="32"/>
          <w:szCs w:val="32"/>
          <w:highlight w:val="none"/>
        </w:rPr>
        <w:t>网站</w:t>
      </w:r>
      <w:r>
        <w:rPr>
          <w:rFonts w:hint="eastAsia" w:ascii="仿宋_GB2312" w:hAnsi="仿宋_GB2312" w:eastAsia="仿宋_GB2312" w:cs="仿宋_GB2312"/>
          <w:sz w:val="32"/>
          <w:szCs w:val="32"/>
        </w:rPr>
        <w:t>(www.creditchina.gov.cn)“重大税收违法失信主体或政府采购严重违法失信行为”记录名单；不处于中国政府采购网(www.ccgp.gov.cn)“政府采购严重违法失信行为信息记录”中的禁止参加政府采购活动期间。（以采购代理机构于投标截止日当天在“中国执行信息公开网”（zxgk.court.gov.cn）、“信用中国”网站（www.creditchina.gov.cn）及中国政府采购网(www.ccgp.gov.cn)查询结果为准，如相关失信记录已失效，供应商需提供相关证明资料）；</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单位负责人为同一人或者存在直接控股、管理关系的不同供应商，不得同时参加本采购项目投标（提供书面声明）；</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为本项目提供整体设计、规范编制或者项目管理、监理、检测等服务的供应商，不得再参与本项目投标（提供书面声明）；</w:t>
      </w:r>
    </w:p>
    <w:p>
      <w:pPr>
        <w:keepNext w:val="0"/>
        <w:keepLines w:val="0"/>
        <w:pageBreakBefore w:val="0"/>
        <w:widowControl/>
        <w:numPr>
          <w:ilvl w:val="0"/>
          <w:numId w:val="2"/>
        </w:numPr>
        <w:kinsoku/>
        <w:wordWrap/>
        <w:overflowPunct/>
        <w:topLinePunct w:val="0"/>
        <w:autoSpaceDE/>
        <w:autoSpaceDN/>
        <w:bidi w:val="0"/>
        <w:adjustRightInd/>
        <w:snapToGrid/>
        <w:spacing w:line="580" w:lineRule="atLeast"/>
        <w:ind w:left="0" w:leftChars="0" w:firstLine="567"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本项目不允许分包或转包（提供书面声明）；</w:t>
      </w:r>
    </w:p>
    <w:p>
      <w:pPr>
        <w:widowControl/>
        <w:numPr>
          <w:ilvl w:val="0"/>
          <w:numId w:val="2"/>
        </w:numPr>
        <w:spacing w:line="580" w:lineRule="atLeast"/>
        <w:ind w:left="0" w:leftChars="0" w:firstLine="567"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供应商已领购本项目招标文件。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52" w:firstLineChars="204"/>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三、获取招标文件</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时间：2024年01月24日至 2024年01月30日，每天上午</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9:00至12:00，下午14:30至17:30。（北京时间，法定节假日除外）</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地点：广州市天河北路626号保利中宇广场A座25楼，电话：020-88260060</w:t>
      </w:r>
    </w:p>
    <w:p>
      <w:pPr>
        <w:widowControl/>
        <w:spacing w:line="580" w:lineRule="atLeas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方式：现场领购或线上领购（邮箱：youde_zb@163.com）</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售价：</w:t>
      </w:r>
      <w:r>
        <w:rPr>
          <w:rFonts w:hint="eastAsia" w:ascii="仿宋_GB2312" w:hAnsi="仿宋_GB2312" w:eastAsia="仿宋_GB2312" w:cs="仿宋_GB2312"/>
          <w:sz w:val="32"/>
          <w:szCs w:val="32"/>
          <w:highlight w:val="none"/>
        </w:rPr>
        <w:t>¥300.0</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rPr>
        <w:t>，本公告包含的招标文件售价总和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52" w:firstLineChars="204"/>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四、提交投标文件截止时间、开标时间和地点</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提交投标文件截止时间：2024年02月20</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09点30分（北京时间）</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开标时间：2024年02月20日09点30分（北京时间）</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地点：广州市天河北路626号保利中宇广场A座25楼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52" w:firstLineChars="204"/>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五、公告期限</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52" w:firstLineChars="204"/>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六、其他补充事宜</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1、投标人凭《投标登记表》（登陆http://www.youde.net网站下载）加盖公司公章至采购代理机构处领购招标文件。</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线上领购招标文件者，将《投标登记表》签章后的扫描件发至采购代理机构邮箱（E-mail：youde_zb@163.com），经采购代理机构工作人员确认后办理相关手续。在任何情况下采购代理机构对邮寄过程中发生的迟交或遗失均不承担责任。</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3、领购招标文件账户信息（采购代理机构只接受以投标人名义的汇款，不接受个人的汇款及其它款项）：</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（1）开户银行名称：中国光大银行广州分行</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（2）单位名称：广东有德招标采购有限公司</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（3）账号：38610188000123567</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4、需要落实的政府采购政策：《政府采购促进中小企业发展管理办法》（财库〔2022〕46 号）、《关于政府采购支持监狱企业发展有关问题的通知》(财库〔2014〕68号)、《关于促进残疾人就业政府采购政策的通知》（财库〔2017〕141号)等。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52" w:firstLineChars="204"/>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七、对本次招标提出询问，请按以下方式联系：</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1.采购人信息</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 称：中华人民共和国广东海事局后勤管理中心　　　　　</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地址：广东省广州市海珠区怡乐路47号　　　　　　　　</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联系方式：020-89029618　　　　　　</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2.采购代理机构信息</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 称：广东有德招标采购有限公司　　　　　　　　　　　　</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址：广州市天河北路626号保利中宇广场A座25楼　　　　　　　　　　　　</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联系方式：黄小姐，020-83627862　　　　　　　　　　　　</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3.项目联系方式</w:t>
      </w:r>
    </w:p>
    <w:p>
      <w:pPr>
        <w:widowControl/>
        <w:spacing w:line="58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项目联系人：姜先生</w:t>
      </w:r>
    </w:p>
    <w:p>
      <w:pPr>
        <w:ind w:firstLine="640" w:firstLineChars="200"/>
      </w:pPr>
      <w:r>
        <w:rPr>
          <w:rFonts w:hint="eastAsia" w:ascii="仿宋_GB2312" w:hAnsi="仿宋_GB2312" w:eastAsia="仿宋_GB2312" w:cs="仿宋_GB2312"/>
          <w:sz w:val="32"/>
          <w:szCs w:val="32"/>
        </w:rPr>
        <w:t>电　话：020-87595921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07EF30"/>
    <w:multiLevelType w:val="singleLevel"/>
    <w:tmpl w:val="D207EF30"/>
    <w:lvl w:ilvl="0" w:tentative="0">
      <w:start w:val="3"/>
      <w:numFmt w:val="decimal"/>
      <w:lvlText w:val="%1."/>
      <w:lvlJc w:val="left"/>
      <w:pPr>
        <w:tabs>
          <w:tab w:val="left" w:pos="312"/>
        </w:tabs>
      </w:pPr>
    </w:lvl>
  </w:abstractNum>
  <w:abstractNum w:abstractNumId="1">
    <w:nsid w:val="DDA8CEBC"/>
    <w:multiLevelType w:val="singleLevel"/>
    <w:tmpl w:val="DDA8CEBC"/>
    <w:lvl w:ilvl="0" w:tentative="0">
      <w:start w:val="1"/>
      <w:numFmt w:val="decimal"/>
      <w:suff w:val="nothing"/>
      <w:lvlText w:val="（%1）"/>
      <w:lvlJc w:val="left"/>
      <w:pPr>
        <w:ind w:left="0" w:firstLine="567"/>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ZTcyNmRlM2UwNGE2NzU2YjA0NWRlNGI2Y2QzNjcifQ=="/>
  </w:docVars>
  <w:rsids>
    <w:rsidRoot w:val="4DFC43E9"/>
    <w:rsid w:val="0ACA03D2"/>
    <w:rsid w:val="28E53925"/>
    <w:rsid w:val="4DFC43E9"/>
    <w:rsid w:val="54AF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2024-01-25T09:58:00Z</dcterms:created>
  <dc:creator>王洽珩</dc:creator>
  <cp:lastModifiedBy>王洽珩</cp:lastModifiedBy>
  <dcterms:modified xsi:type="dcterms:W3CDTF">2024-01-25T10:15:14Z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123B6690EB1C46B790DC8EBD57C54C76_11</vt:lpwstr>
  </property>
</Properties>
</file>