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kern w:val="0"/>
          <w:sz w:val="52"/>
          <w:szCs w:val="52"/>
        </w:rPr>
      </w:pPr>
    </w:p>
    <w:p>
      <w:pPr>
        <w:rPr>
          <w:rFonts w:hint="eastAsia" w:ascii="方正小标宋_GBK" w:eastAsia="方正小标宋_GBK"/>
          <w:kern w:val="0"/>
          <w:sz w:val="52"/>
          <w:szCs w:val="52"/>
        </w:rPr>
      </w:pPr>
    </w:p>
    <w:p>
      <w:pPr>
        <w:rPr>
          <w:rFonts w:hint="eastAsia" w:ascii="方正小标宋_GBK" w:eastAsia="方正小标宋_GBK"/>
          <w:kern w:val="0"/>
          <w:sz w:val="52"/>
          <w:szCs w:val="52"/>
        </w:rPr>
      </w:pPr>
    </w:p>
    <w:p>
      <w:pPr>
        <w:jc w:val="center"/>
        <w:rPr>
          <w:rFonts w:ascii="方正小标宋_GBK" w:eastAsia="方正小标宋_GBK"/>
          <w:kern w:val="0"/>
          <w:sz w:val="52"/>
          <w:szCs w:val="52"/>
        </w:rPr>
      </w:pPr>
      <w:r>
        <w:rPr>
          <w:rFonts w:hint="eastAsia" w:ascii="方正小标宋_GBK" w:eastAsia="方正小标宋_GBK"/>
          <w:kern w:val="0"/>
          <w:sz w:val="52"/>
          <w:szCs w:val="52"/>
        </w:rPr>
        <w:t>河源海事局2020年度部门决算公开</w:t>
      </w:r>
    </w:p>
    <w:p>
      <w:pPr>
        <w:ind w:firstLine="1080" w:firstLineChars="150"/>
        <w:rPr>
          <w:rFonts w:ascii="黑体" w:eastAsia="黑体" w:cs="黑体"/>
          <w:color w:val="000000"/>
          <w:kern w:val="0"/>
          <w:sz w:val="72"/>
          <w:szCs w:val="72"/>
        </w:rPr>
      </w:pPr>
    </w:p>
    <w:p>
      <w:pPr>
        <w:ind w:firstLine="1080" w:firstLineChars="150"/>
        <w:rPr>
          <w:rFonts w:hint="eastAsia" w:ascii="黑体" w:eastAsia="黑体" w:cs="黑体"/>
          <w:color w:val="000000"/>
          <w:kern w:val="0"/>
          <w:sz w:val="72"/>
          <w:szCs w:val="72"/>
        </w:rPr>
      </w:pPr>
    </w:p>
    <w:p>
      <w:pPr>
        <w:ind w:firstLine="1080" w:firstLineChars="150"/>
        <w:rPr>
          <w:rFonts w:ascii="黑体" w:eastAsia="黑体" w:cs="黑体"/>
          <w:color w:val="000000"/>
          <w:kern w:val="0"/>
          <w:sz w:val="72"/>
          <w:szCs w:val="72"/>
        </w:rPr>
      </w:pPr>
    </w:p>
    <w:p>
      <w:pPr>
        <w:ind w:firstLine="1080" w:firstLineChars="150"/>
        <w:rPr>
          <w:rFonts w:hint="eastAsia" w:ascii="黑体" w:eastAsia="黑体" w:cs="黑体"/>
          <w:color w:val="000000"/>
          <w:kern w:val="0"/>
          <w:sz w:val="72"/>
          <w:szCs w:val="72"/>
        </w:rPr>
      </w:pPr>
    </w:p>
    <w:p>
      <w:pPr>
        <w:ind w:firstLine="1080" w:firstLineChars="150"/>
        <w:rPr>
          <w:rFonts w:hint="eastAsia" w:ascii="黑体" w:eastAsia="黑体" w:cs="黑体"/>
          <w:color w:val="000000"/>
          <w:kern w:val="0"/>
          <w:sz w:val="72"/>
          <w:szCs w:val="72"/>
        </w:rPr>
      </w:pPr>
    </w:p>
    <w:p>
      <w:pPr>
        <w:ind w:firstLine="1080" w:firstLineChars="150"/>
        <w:rPr>
          <w:rFonts w:hint="eastAsia" w:ascii="黑体" w:eastAsia="黑体" w:cs="黑体"/>
          <w:color w:val="000000"/>
          <w:kern w:val="0"/>
          <w:sz w:val="72"/>
          <w:szCs w:val="72"/>
        </w:rPr>
      </w:pPr>
    </w:p>
    <w:p>
      <w:pPr>
        <w:ind w:firstLine="1080" w:firstLineChars="150"/>
        <w:rPr>
          <w:rFonts w:hint="eastAsia" w:ascii="黑体" w:eastAsia="黑体" w:cs="黑体"/>
          <w:color w:val="000000"/>
          <w:kern w:val="0"/>
          <w:sz w:val="72"/>
          <w:szCs w:val="72"/>
        </w:rPr>
      </w:pPr>
    </w:p>
    <w:p>
      <w:pPr>
        <w:ind w:firstLine="1080" w:firstLineChars="150"/>
        <w:rPr>
          <w:rFonts w:hint="eastAsia" w:ascii="黑体" w:eastAsia="黑体" w:cs="黑体"/>
          <w:color w:val="000000"/>
          <w:kern w:val="0"/>
          <w:sz w:val="72"/>
          <w:szCs w:val="72"/>
        </w:rPr>
      </w:pPr>
    </w:p>
    <w:p>
      <w:pPr>
        <w:ind w:firstLine="1080" w:firstLineChars="150"/>
        <w:rPr>
          <w:rFonts w:ascii="黑体" w:eastAsia="黑体" w:cs="黑体"/>
          <w:color w:val="000000"/>
          <w:kern w:val="0"/>
          <w:sz w:val="72"/>
          <w:szCs w:val="72"/>
        </w:rPr>
      </w:pPr>
    </w:p>
    <w:p>
      <w:pPr>
        <w:jc w:val="center"/>
        <w:rPr>
          <w:rFonts w:ascii="方正小标宋_GBK" w:eastAsia="方正小标宋_GBK" w:hAnsiTheme="minorEastAsia"/>
          <w:b w:val="0"/>
          <w:bCs w:val="0"/>
          <w:sz w:val="52"/>
          <w:szCs w:val="52"/>
        </w:rPr>
      </w:pPr>
      <w:r>
        <w:rPr>
          <w:rFonts w:hint="eastAsia" w:ascii="方正小标宋_GBK" w:eastAsia="方正小标宋_GBK" w:hAnsiTheme="minorEastAsia"/>
          <w:b w:val="0"/>
          <w:bCs w:val="0"/>
          <w:sz w:val="52"/>
          <w:szCs w:val="52"/>
        </w:rPr>
        <w:t>二○二一年九月</w:t>
      </w:r>
    </w:p>
    <w:p>
      <w:pPr>
        <w:rPr>
          <w:rFonts w:hint="eastAsia" w:ascii="黑体" w:eastAsia="黑体" w:cs="黑体"/>
          <w:color w:val="000000"/>
          <w:kern w:val="0"/>
          <w:sz w:val="72"/>
          <w:szCs w:val="72"/>
        </w:rPr>
      </w:pPr>
    </w:p>
    <w:p>
      <w:pPr>
        <w:rPr>
          <w:rFonts w:hint="eastAsia" w:ascii="黑体" w:eastAsia="黑体" w:cs="黑体"/>
          <w:color w:val="000000"/>
          <w:kern w:val="0"/>
          <w:sz w:val="72"/>
          <w:szCs w:val="72"/>
        </w:rPr>
      </w:pPr>
    </w:p>
    <w:p>
      <w:pPr>
        <w:rPr>
          <w:rFonts w:hint="eastAsia" w:ascii="黑体" w:eastAsia="黑体" w:cs="黑体"/>
          <w:color w:val="000000"/>
          <w:kern w:val="0"/>
          <w:sz w:val="72"/>
          <w:szCs w:val="72"/>
        </w:rPr>
      </w:pPr>
    </w:p>
    <w:p>
      <w:pPr>
        <w:jc w:val="center"/>
        <w:rPr>
          <w:rFonts w:hint="eastAsia" w:ascii="黑体" w:eastAsia="黑体" w:cs="黑体"/>
          <w:color w:val="000000"/>
          <w:kern w:val="0"/>
          <w:sz w:val="48"/>
          <w:szCs w:val="48"/>
        </w:rPr>
      </w:pPr>
      <w:r>
        <w:rPr>
          <w:rFonts w:hint="eastAsia" w:ascii="黑体" w:eastAsia="黑体" w:cs="黑体"/>
          <w:color w:val="000000"/>
          <w:kern w:val="0"/>
          <w:sz w:val="48"/>
          <w:szCs w:val="48"/>
        </w:rPr>
        <w:t>目录</w:t>
      </w:r>
    </w:p>
    <w:p>
      <w:pPr>
        <w:jc w:val="center"/>
        <w:rPr>
          <w:rFonts w:ascii="黑体" w:eastAsia="黑体" w:cs="黑体"/>
          <w:color w:val="000000"/>
          <w:kern w:val="0"/>
          <w:sz w:val="32"/>
          <w:szCs w:val="32"/>
        </w:rPr>
      </w:pPr>
    </w:p>
    <w:p>
      <w:pPr>
        <w:ind w:firstLine="640" w:firstLineChars="200"/>
        <w:jc w:val="both"/>
        <w:rPr>
          <w:rFonts w:hint="eastAsia" w:ascii="黑体" w:hAnsi="黑体" w:eastAsia="黑体"/>
          <w:sz w:val="32"/>
          <w:szCs w:val="32"/>
          <w:lang w:eastAsia="zh-CN"/>
        </w:rPr>
      </w:pPr>
      <w:r>
        <w:rPr>
          <w:rFonts w:hint="eastAsia" w:ascii="黑体" w:hAnsi="黑体" w:eastAsia="黑体"/>
          <w:sz w:val="32"/>
          <w:szCs w:val="32"/>
        </w:rPr>
        <w:t>一、河源海事局职能</w:t>
      </w:r>
      <w:r>
        <w:rPr>
          <w:rFonts w:hint="eastAsia" w:ascii="黑体" w:hAnsi="黑体" w:eastAsia="黑体"/>
          <w:sz w:val="32"/>
          <w:szCs w:val="32"/>
          <w:lang w:val="en-US" w:eastAsia="zh-CN"/>
        </w:rPr>
        <w:t xml:space="preserve">  </w:t>
      </w:r>
      <w:r>
        <w:rPr>
          <w:rFonts w:hint="eastAsia" w:ascii="黑体" w:hAnsi="黑体" w:eastAsia="黑体"/>
          <w:sz w:val="32"/>
          <w:szCs w:val="32"/>
        </w:rPr>
        <w:t>…………………………………</w:t>
      </w:r>
      <w:r>
        <w:rPr>
          <w:rFonts w:hint="eastAsia" w:ascii="黑体" w:hAnsi="黑体" w:eastAsia="黑体"/>
          <w:sz w:val="32"/>
          <w:szCs w:val="32"/>
          <w:lang w:val="en-US" w:eastAsia="zh-CN"/>
        </w:rPr>
        <w:t>3</w:t>
      </w:r>
    </w:p>
    <w:p>
      <w:pPr>
        <w:ind w:firstLine="640" w:firstLineChars="200"/>
        <w:jc w:val="both"/>
        <w:rPr>
          <w:rFonts w:hint="eastAsia" w:ascii="黑体" w:hAnsi="黑体" w:eastAsia="黑体"/>
          <w:sz w:val="32"/>
          <w:szCs w:val="32"/>
          <w:lang w:eastAsia="zh-CN"/>
        </w:rPr>
      </w:pPr>
      <w:r>
        <w:rPr>
          <w:rFonts w:hint="eastAsia" w:ascii="黑体" w:hAnsi="黑体" w:eastAsia="黑体"/>
          <w:sz w:val="32"/>
          <w:szCs w:val="32"/>
        </w:rPr>
        <w:t>二、河源海事局2020年度部门决算情况 ……………</w:t>
      </w:r>
      <w:r>
        <w:rPr>
          <w:rFonts w:hint="eastAsia" w:ascii="黑体" w:hAnsi="黑体" w:eastAsia="黑体"/>
          <w:sz w:val="32"/>
          <w:szCs w:val="32"/>
          <w:lang w:val="en-US" w:eastAsia="zh-CN"/>
        </w:rPr>
        <w:t>5</w:t>
      </w:r>
    </w:p>
    <w:p>
      <w:pPr>
        <w:ind w:firstLine="640" w:firstLineChars="200"/>
        <w:jc w:val="both"/>
        <w:rPr>
          <w:rFonts w:hint="eastAsia" w:ascii="黑体" w:hAnsi="黑体" w:eastAsia="黑体"/>
          <w:sz w:val="32"/>
          <w:szCs w:val="32"/>
          <w:lang w:val="en-US" w:eastAsia="zh-CN"/>
        </w:rPr>
      </w:pPr>
      <w:r>
        <w:rPr>
          <w:rFonts w:hint="eastAsia" w:ascii="黑体" w:hAnsi="黑体" w:eastAsia="黑体"/>
          <w:sz w:val="32"/>
          <w:szCs w:val="32"/>
        </w:rPr>
        <w:t>三、河源海事局2020年度部门决算情况说明 ………</w:t>
      </w:r>
      <w:r>
        <w:rPr>
          <w:rFonts w:hint="eastAsia" w:ascii="黑体" w:hAnsi="黑体" w:eastAsia="黑体"/>
          <w:sz w:val="32"/>
          <w:szCs w:val="32"/>
          <w:lang w:val="en-US" w:eastAsia="zh-CN"/>
        </w:rPr>
        <w:t>12</w:t>
      </w:r>
    </w:p>
    <w:p>
      <w:pPr>
        <w:ind w:firstLine="640" w:firstLineChars="200"/>
        <w:jc w:val="both"/>
        <w:rPr>
          <w:rFonts w:hint="eastAsia" w:ascii="黑体" w:hAnsi="黑体" w:eastAsia="黑体"/>
          <w:sz w:val="32"/>
          <w:szCs w:val="32"/>
        </w:rPr>
      </w:pPr>
      <w:r>
        <w:rPr>
          <w:rFonts w:hint="eastAsia" w:ascii="黑体" w:hAnsi="黑体" w:eastAsia="黑体"/>
          <w:sz w:val="32"/>
          <w:szCs w:val="32"/>
        </w:rPr>
        <w:t>四、名词解释  …………………………………………</w:t>
      </w:r>
      <w:r>
        <w:rPr>
          <w:rFonts w:hint="eastAsia" w:ascii="黑体" w:hAnsi="黑体" w:eastAsia="黑体"/>
          <w:sz w:val="32"/>
          <w:szCs w:val="32"/>
          <w:lang w:val="en-US" w:eastAsia="zh-CN"/>
        </w:rPr>
        <w:t>1</w:t>
      </w:r>
      <w:r>
        <w:rPr>
          <w:rFonts w:hint="eastAsia" w:ascii="黑体" w:hAnsi="黑体" w:eastAsia="黑体"/>
          <w:sz w:val="32"/>
          <w:szCs w:val="32"/>
        </w:rPr>
        <w:t>7</w:t>
      </w:r>
      <w:bookmarkStart w:id="0" w:name="_GoBack"/>
      <w:bookmarkEnd w:id="0"/>
    </w:p>
    <w:p>
      <w:pPr>
        <w:ind w:firstLine="640" w:firstLineChars="200"/>
        <w:jc w:val="both"/>
        <w:rPr>
          <w:rFonts w:hint="eastAsia" w:ascii="黑体" w:hAnsi="黑体" w:eastAsia="黑体"/>
          <w:sz w:val="32"/>
          <w:szCs w:val="32"/>
        </w:rPr>
      </w:pPr>
    </w:p>
    <w:p>
      <w:pPr>
        <w:ind w:firstLine="640" w:firstLineChars="200"/>
        <w:rPr>
          <w:rFonts w:hint="eastAsia" w:ascii="黑体" w:hAnsi="黑体" w:eastAsia="黑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楷体" w:hAnsi="楷体" w:eastAsia="楷体"/>
          <w:sz w:val="32"/>
          <w:szCs w:val="32"/>
        </w:rPr>
      </w:pP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一、河源海事局职能</w:t>
      </w:r>
    </w:p>
    <w:p>
      <w:pPr>
        <w:spacing w:line="360" w:lineRule="auto"/>
        <w:ind w:firstLine="640" w:firstLineChars="200"/>
        <w:rPr>
          <w:rFonts w:hint="eastAsia" w:ascii="楷体" w:hAnsi="楷体" w:eastAsia="楷体"/>
          <w:sz w:val="32"/>
          <w:szCs w:val="32"/>
        </w:rPr>
      </w:pPr>
      <w:r>
        <w:rPr>
          <w:rFonts w:hint="eastAsia" w:ascii="楷体" w:hAnsi="楷体" w:eastAsia="楷体"/>
          <w:sz w:val="32"/>
          <w:szCs w:val="32"/>
        </w:rPr>
        <w:t>（一）主要职能</w:t>
      </w:r>
    </w:p>
    <w:p>
      <w:pPr>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rPr>
        <w:t>按照授权，河源海事局主要负责贯彻和执行国家水上交通安全、环境保护等方面法律、法规；负责水上交通安全综合管理和现场执法工作，负责辖区突发事件应急指挥、搜救和应急值班工作，负责航道（路）、禁航区、交通管制区、锚地和安全作业区等水域的划定、报批和监督管理工作，负责水上、水下施工作业（含使用岸线）碍航性审核和监督检查以及通航环境认证工作，负责沉船沉物打捞和碍航物清除的管理工作，负责航行警（通）告管理工作，按管理权限负责辖区水上交通事故及污染事故的调查、处理工作，负责船舶登记、适航管理和安全检查工作，负责辖区船员管理及船员权益保障工作，负责辖区船员培训机构和船员服务机构管理工作，负责防治船舶及有关作业污染的监督管理等工作。</w:t>
      </w:r>
    </w:p>
    <w:p>
      <w:pPr>
        <w:spacing w:line="360" w:lineRule="auto"/>
        <w:ind w:firstLine="640" w:firstLineChars="200"/>
        <w:rPr>
          <w:rFonts w:hint="eastAsia" w:ascii="楷体" w:hAnsi="楷体" w:eastAsia="楷体"/>
          <w:sz w:val="32"/>
          <w:szCs w:val="32"/>
        </w:rPr>
      </w:pPr>
      <w:r>
        <w:rPr>
          <w:rFonts w:hint="eastAsia" w:ascii="楷体" w:hAnsi="楷体" w:eastAsia="楷体"/>
          <w:sz w:val="32"/>
          <w:szCs w:val="32"/>
        </w:rPr>
        <w:t>（二）机构设置</w:t>
      </w:r>
    </w:p>
    <w:p>
      <w:pPr>
        <w:spacing w:line="360" w:lineRule="auto"/>
        <w:ind w:firstLine="640" w:firstLineChars="200"/>
        <w:rPr>
          <w:sz w:val="32"/>
          <w:szCs w:val="32"/>
        </w:rPr>
      </w:pPr>
      <w:r>
        <w:rPr>
          <w:rFonts w:hint="eastAsia" w:ascii="仿宋_GB2312" w:eastAsia="仿宋_GB2312" w:cs="仿宋"/>
          <w:color w:val="000000"/>
          <w:kern w:val="0"/>
          <w:sz w:val="32"/>
          <w:szCs w:val="32"/>
          <w:lang w:val="zh-CN"/>
        </w:rPr>
        <w:t>河源海事局前身是广东省河源港航监督局、河源市航务管理局。2000年11月全国水监体制改革后，由广东省河源港航监督局更名为“中华人民共和国河源海事局”，隶属中华人民共和国广东海事局，为广东海事局的一个分支局。局内设机构6个：办公室、党群工作部（纪检监察处）、财务会计处、指挥中心（搜救中心办公室）、船舶监督处（船员管理处）、东江海巡执法大队；处室办事机构2个：政务中心、海巡执法支队；派出机构1个：东源海事处；代为管理机构2个：河源市水上搜救中心办公室、河源海事局后勤管理中心。</w:t>
      </w: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二、河源海事局2020年度部门决算情况</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（一）</w:t>
      </w:r>
      <w:r>
        <w:rPr>
          <w:rFonts w:hint="eastAsia" w:ascii="楷体" w:hAnsi="楷体" w:eastAsia="楷体"/>
          <w:kern w:val="0"/>
          <w:sz w:val="32"/>
          <w:szCs w:val="32"/>
        </w:rPr>
        <w:t>收入支出决算表</w:t>
      </w:r>
    </w:p>
    <w:p>
      <w:pPr>
        <w:jc w:val="right"/>
        <w:rPr>
          <w:sz w:val="28"/>
          <w:szCs w:val="28"/>
        </w:rPr>
      </w:pPr>
      <w:r>
        <w:rPr>
          <w:rFonts w:hint="eastAsia" w:ascii="宋体" w:hAnsi="宋体" w:eastAsia="宋体" w:cs="Arial"/>
          <w:color w:val="000000"/>
          <w:kern w:val="0"/>
          <w:sz w:val="28"/>
          <w:szCs w:val="28"/>
        </w:rPr>
        <w:t>公开01表</w:t>
      </w:r>
    </w:p>
    <w:p>
      <w:pPr>
        <w:rPr>
          <w:rFonts w:hint="eastAsia"/>
          <w:sz w:val="28"/>
          <w:szCs w:val="28"/>
        </w:rPr>
      </w:pPr>
      <w:r>
        <w:rPr>
          <w:rFonts w:hint="eastAsia" w:ascii="宋体" w:hAnsi="宋体" w:eastAsia="宋体" w:cs="Arial"/>
          <w:color w:val="000000"/>
          <w:kern w:val="0"/>
          <w:sz w:val="28"/>
          <w:szCs w:val="28"/>
        </w:rPr>
        <w:t>部门：中华人民共和国河源海事局               金额单位：万元</w:t>
      </w:r>
    </w:p>
    <w:tbl>
      <w:tblPr>
        <w:tblStyle w:val="7"/>
        <w:tblW w:w="9182" w:type="dxa"/>
        <w:tblInd w:w="95" w:type="dxa"/>
        <w:tblLayout w:type="fixed"/>
        <w:tblCellMar>
          <w:top w:w="0" w:type="dxa"/>
          <w:left w:w="108" w:type="dxa"/>
          <w:bottom w:w="0" w:type="dxa"/>
          <w:right w:w="108" w:type="dxa"/>
        </w:tblCellMar>
      </w:tblPr>
      <w:tblGrid>
        <w:gridCol w:w="3839"/>
        <w:gridCol w:w="1337"/>
        <w:gridCol w:w="2143"/>
        <w:gridCol w:w="1863"/>
      </w:tblGrid>
      <w:tr>
        <w:tblPrEx>
          <w:tblLayout w:type="fixed"/>
          <w:tblCellMar>
            <w:top w:w="0" w:type="dxa"/>
            <w:left w:w="108" w:type="dxa"/>
            <w:bottom w:w="0" w:type="dxa"/>
            <w:right w:w="108" w:type="dxa"/>
          </w:tblCellMar>
        </w:tblPrEx>
        <w:trPr>
          <w:trHeight w:val="610" w:hRule="atLeast"/>
        </w:trPr>
        <w:tc>
          <w:tcPr>
            <w:tcW w:w="5176"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收入</w:t>
            </w:r>
          </w:p>
        </w:tc>
        <w:tc>
          <w:tcPr>
            <w:tcW w:w="4006"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w:t>
            </w:r>
          </w:p>
        </w:tc>
      </w:tr>
      <w:tr>
        <w:tblPrEx>
          <w:tblLayout w:type="fixed"/>
          <w:tblCellMar>
            <w:top w:w="0" w:type="dxa"/>
            <w:left w:w="108" w:type="dxa"/>
            <w:bottom w:w="0" w:type="dxa"/>
            <w:right w:w="108" w:type="dxa"/>
          </w:tblCellMar>
        </w:tblPrEx>
        <w:trPr>
          <w:trHeight w:val="756"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金额</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金额</w:t>
            </w:r>
          </w:p>
        </w:tc>
      </w:tr>
      <w:tr>
        <w:tblPrEx>
          <w:tblLayout w:type="fixed"/>
          <w:tblCellMar>
            <w:top w:w="0" w:type="dxa"/>
            <w:left w:w="108" w:type="dxa"/>
            <w:bottom w:w="0" w:type="dxa"/>
            <w:right w:w="108" w:type="dxa"/>
          </w:tblCellMar>
        </w:tblPrEx>
        <w:trPr>
          <w:trHeight w:val="696"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一、一般公共预算财政拨款收入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1,003.68</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一、一般公共服务支出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96"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二、政府性基金预算财政拨款收入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二、外交支出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25"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三、国有资本经营预算财政拨款收入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三、国防支出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42"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四、上级补助收入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四、公共安全支出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59"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五、事业收入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五、教育支出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93"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六、经营收入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六、科学技术支出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96"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七、附属单位上缴收入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七、文化旅游体育与传媒支出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96"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八、其他收入</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163.33</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八、社会保障和就业支出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151.00</w:t>
            </w:r>
          </w:p>
        </w:tc>
      </w:tr>
      <w:tr>
        <w:tblPrEx>
          <w:tblLayout w:type="fixed"/>
          <w:tblCellMar>
            <w:top w:w="0" w:type="dxa"/>
            <w:left w:w="108" w:type="dxa"/>
            <w:bottom w:w="0" w:type="dxa"/>
            <w:right w:w="108" w:type="dxa"/>
          </w:tblCellMar>
        </w:tblPrEx>
        <w:trPr>
          <w:trHeight w:val="507"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九、卫生健康支出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35.68</w:t>
            </w:r>
          </w:p>
        </w:tc>
      </w:tr>
      <w:tr>
        <w:tblPrEx>
          <w:tblLayout w:type="fixed"/>
          <w:tblCellMar>
            <w:top w:w="0" w:type="dxa"/>
            <w:left w:w="108" w:type="dxa"/>
            <w:bottom w:w="0" w:type="dxa"/>
            <w:right w:w="108" w:type="dxa"/>
          </w:tblCellMar>
        </w:tblPrEx>
        <w:trPr>
          <w:trHeight w:val="525"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十三、交通运输支出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1,107.19</w:t>
            </w:r>
          </w:p>
        </w:tc>
      </w:tr>
      <w:tr>
        <w:tblPrEx>
          <w:tblLayout w:type="fixed"/>
          <w:tblCellMar>
            <w:top w:w="0" w:type="dxa"/>
            <w:left w:w="108" w:type="dxa"/>
            <w:bottom w:w="0" w:type="dxa"/>
            <w:right w:w="108" w:type="dxa"/>
          </w:tblCellMar>
        </w:tblPrEx>
        <w:trPr>
          <w:trHeight w:val="537"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十九、住房保障支出</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135.00</w:t>
            </w:r>
          </w:p>
        </w:tc>
      </w:tr>
      <w:tr>
        <w:tblPrEx>
          <w:tblLayout w:type="fixed"/>
          <w:tblCellMar>
            <w:top w:w="0" w:type="dxa"/>
            <w:left w:w="108" w:type="dxa"/>
            <w:bottom w:w="0" w:type="dxa"/>
            <w:right w:w="108" w:type="dxa"/>
          </w:tblCellMar>
        </w:tblPrEx>
        <w:trPr>
          <w:trHeight w:val="696"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本年收入合计</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1,167.01</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本年支出合计</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1,428.87</w:t>
            </w:r>
          </w:p>
        </w:tc>
      </w:tr>
      <w:tr>
        <w:tblPrEx>
          <w:tblLayout w:type="fixed"/>
          <w:tblCellMar>
            <w:top w:w="0" w:type="dxa"/>
            <w:left w:w="108" w:type="dxa"/>
            <w:bottom w:w="0" w:type="dxa"/>
            <w:right w:w="108" w:type="dxa"/>
          </w:tblCellMar>
        </w:tblPrEx>
        <w:trPr>
          <w:trHeight w:val="473"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使用非财政拨款结余</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结余分配</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08"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年初结转和结余</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303.69</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年末结转和结余</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41.83</w:t>
            </w:r>
          </w:p>
        </w:tc>
      </w:tr>
      <w:tr>
        <w:tblPrEx>
          <w:tblLayout w:type="fixed"/>
          <w:tblCellMar>
            <w:top w:w="0" w:type="dxa"/>
            <w:left w:w="108" w:type="dxa"/>
            <w:bottom w:w="0" w:type="dxa"/>
            <w:right w:w="108" w:type="dxa"/>
          </w:tblCellMar>
        </w:tblPrEx>
        <w:trPr>
          <w:trHeight w:val="696" w:hRule="atLeast"/>
        </w:trPr>
        <w:tc>
          <w:tcPr>
            <w:tcW w:w="3839"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337"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1,470.70</w:t>
            </w:r>
          </w:p>
        </w:tc>
        <w:tc>
          <w:tcPr>
            <w:tcW w:w="2143"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863" w:type="dxa"/>
            <w:tcBorders>
              <w:top w:val="nil"/>
              <w:left w:val="nil"/>
              <w:bottom w:val="single" w:color="000000" w:sz="8" w:space="0"/>
              <w:right w:val="single" w:color="000000" w:sz="8"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1,470.70</w:t>
            </w:r>
          </w:p>
        </w:tc>
      </w:tr>
    </w:tbl>
    <w:p>
      <w:pPr>
        <w:rPr>
          <w:rFonts w:hint="eastAsia"/>
          <w:sz w:val="24"/>
          <w:szCs w:val="24"/>
        </w:rPr>
      </w:pPr>
      <w:r>
        <w:rPr>
          <w:rFonts w:hint="eastAsia" w:ascii="宋体" w:hAnsi="宋体" w:eastAsia="宋体" w:cs="Arial"/>
          <w:color w:val="000000"/>
          <w:kern w:val="0"/>
          <w:sz w:val="24"/>
          <w:szCs w:val="24"/>
        </w:rPr>
        <w:t>注：本表反映单位本年度的总收支和年末结转结余情况。本套报表金额单位转换时可能存在尾数误差。</w:t>
      </w:r>
    </w:p>
    <w:p>
      <w:pPr>
        <w:spacing w:line="360" w:lineRule="auto"/>
        <w:ind w:firstLine="640" w:firstLineChars="200"/>
        <w:rPr>
          <w:rFonts w:hint="eastAsia" w:ascii="楷体" w:hAnsi="楷体" w:eastAsia="楷体" w:cs="Arial"/>
          <w:color w:val="000000"/>
          <w:kern w:val="0"/>
          <w:sz w:val="32"/>
          <w:szCs w:val="32"/>
        </w:rPr>
      </w:pPr>
      <w:r>
        <w:rPr>
          <w:rFonts w:hint="eastAsia" w:ascii="楷体" w:hAnsi="楷体" w:eastAsia="楷体"/>
          <w:sz w:val="32"/>
          <w:szCs w:val="32"/>
        </w:rPr>
        <w:t>（二）</w:t>
      </w:r>
      <w:r>
        <w:rPr>
          <w:rFonts w:hint="eastAsia" w:ascii="楷体" w:hAnsi="楷体" w:eastAsia="楷体" w:cs="Arial"/>
          <w:color w:val="000000"/>
          <w:kern w:val="0"/>
          <w:sz w:val="32"/>
          <w:szCs w:val="32"/>
        </w:rPr>
        <w:t>收入决算表</w:t>
      </w:r>
    </w:p>
    <w:p>
      <w:pPr>
        <w:spacing w:line="360" w:lineRule="auto"/>
        <w:ind w:firstLine="560" w:firstLineChars="200"/>
        <w:jc w:val="right"/>
        <w:rPr>
          <w:sz w:val="28"/>
          <w:szCs w:val="28"/>
        </w:rPr>
      </w:pPr>
      <w:r>
        <w:rPr>
          <w:rFonts w:hint="eastAsia" w:ascii="宋体" w:hAnsi="宋体" w:eastAsia="宋体" w:cs="Arial"/>
          <w:color w:val="000000"/>
          <w:kern w:val="0"/>
          <w:sz w:val="28"/>
          <w:szCs w:val="28"/>
        </w:rPr>
        <w:t>公开02表</w:t>
      </w:r>
    </w:p>
    <w:p>
      <w:pPr>
        <w:rPr>
          <w:rFonts w:hint="eastAsia"/>
          <w:sz w:val="28"/>
          <w:szCs w:val="28"/>
        </w:rPr>
      </w:pPr>
      <w:r>
        <w:rPr>
          <w:rFonts w:hint="eastAsia" w:ascii="宋体" w:hAnsi="宋体" w:eastAsia="宋体" w:cs="Arial"/>
          <w:color w:val="000000"/>
          <w:kern w:val="0"/>
          <w:sz w:val="28"/>
          <w:szCs w:val="28"/>
        </w:rPr>
        <w:t>部门：中华人民共和国河源海事局               金额单位：万元</w:t>
      </w:r>
    </w:p>
    <w:tbl>
      <w:tblPr>
        <w:tblStyle w:val="7"/>
        <w:tblW w:w="9846" w:type="dxa"/>
        <w:tblInd w:w="95" w:type="dxa"/>
        <w:tblLayout w:type="fixed"/>
        <w:tblCellMar>
          <w:top w:w="0" w:type="dxa"/>
          <w:left w:w="108" w:type="dxa"/>
          <w:bottom w:w="0" w:type="dxa"/>
          <w:right w:w="108" w:type="dxa"/>
        </w:tblCellMar>
      </w:tblPr>
      <w:tblGrid>
        <w:gridCol w:w="436"/>
        <w:gridCol w:w="436"/>
        <w:gridCol w:w="395"/>
        <w:gridCol w:w="2349"/>
        <w:gridCol w:w="1014"/>
        <w:gridCol w:w="1096"/>
        <w:gridCol w:w="953"/>
        <w:gridCol w:w="688"/>
        <w:gridCol w:w="656"/>
        <w:gridCol w:w="858"/>
        <w:gridCol w:w="965"/>
      </w:tblGrid>
      <w:tr>
        <w:tblPrEx>
          <w:tblLayout w:type="fixed"/>
          <w:tblCellMar>
            <w:top w:w="0" w:type="dxa"/>
            <w:left w:w="108" w:type="dxa"/>
            <w:bottom w:w="0" w:type="dxa"/>
            <w:right w:w="108" w:type="dxa"/>
          </w:tblCellMar>
        </w:tblPrEx>
        <w:trPr>
          <w:trHeight w:val="435" w:hRule="atLeast"/>
        </w:trPr>
        <w:tc>
          <w:tcPr>
            <w:tcW w:w="36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1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09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95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68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65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85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96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Layout w:type="fixed"/>
          <w:tblCellMar>
            <w:top w:w="0" w:type="dxa"/>
            <w:left w:w="108" w:type="dxa"/>
            <w:bottom w:w="0" w:type="dxa"/>
            <w:right w:w="108" w:type="dxa"/>
          </w:tblCellMar>
        </w:tblPrEx>
        <w:trPr>
          <w:trHeight w:val="312" w:hRule="atLeast"/>
        </w:trPr>
        <w:tc>
          <w:tcPr>
            <w:tcW w:w="126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349"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1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5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26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4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1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5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26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4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1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5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408" w:hRule="atLeast"/>
        </w:trPr>
        <w:tc>
          <w:tcPr>
            <w:tcW w:w="436"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395"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6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8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965"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r>
      <w:tr>
        <w:tblPrEx>
          <w:tblLayout w:type="fixed"/>
          <w:tblCellMar>
            <w:top w:w="0" w:type="dxa"/>
            <w:left w:w="108" w:type="dxa"/>
            <w:bottom w:w="0" w:type="dxa"/>
            <w:right w:w="108" w:type="dxa"/>
          </w:tblCellMar>
        </w:tblPrEx>
        <w:trPr>
          <w:trHeight w:val="589"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9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4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1,167.01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1,003.68</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163.33</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75"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行政单位离退休</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交通运输支出</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845.33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682.00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163.33</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21401</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公路水路运输</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845.33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682.00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163.33</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2140131</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海事管理</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845.33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682.00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163.33</w:t>
            </w:r>
          </w:p>
        </w:tc>
      </w:tr>
      <w:tr>
        <w:tblPrEx>
          <w:tblLayout w:type="fixed"/>
          <w:tblCellMar>
            <w:top w:w="0" w:type="dxa"/>
            <w:left w:w="108" w:type="dxa"/>
            <w:bottom w:w="0" w:type="dxa"/>
            <w:right w:w="108" w:type="dxa"/>
          </w:tblCellMar>
        </w:tblPrEx>
        <w:trPr>
          <w:trHeight w:val="74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07"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90" w:hRule="atLeast"/>
        </w:trPr>
        <w:tc>
          <w:tcPr>
            <w:tcW w:w="126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2210203</w:t>
            </w:r>
          </w:p>
        </w:tc>
        <w:tc>
          <w:tcPr>
            <w:tcW w:w="234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购房补贴</w:t>
            </w:r>
          </w:p>
        </w:tc>
        <w:tc>
          <w:tcPr>
            <w:tcW w:w="101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85.00</w:t>
            </w:r>
          </w:p>
        </w:tc>
        <w:tc>
          <w:tcPr>
            <w:tcW w:w="9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65"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pPr>
        <w:spacing w:line="360" w:lineRule="auto"/>
        <w:rPr>
          <w:rFonts w:hint="eastAsia" w:ascii="楷体" w:hAnsi="楷体" w:eastAsia="楷体"/>
          <w:sz w:val="32"/>
          <w:szCs w:val="32"/>
        </w:rPr>
      </w:pPr>
      <w:r>
        <w:rPr>
          <w:rFonts w:hint="eastAsia"/>
          <w:sz w:val="22"/>
        </w:rPr>
        <w:t>注：本表反映单位本年度取得的各项收入情况。</w:t>
      </w:r>
    </w:p>
    <w:p>
      <w:pPr>
        <w:spacing w:line="360" w:lineRule="auto"/>
        <w:ind w:firstLine="640" w:firstLineChars="200"/>
        <w:rPr>
          <w:rFonts w:hint="eastAsia" w:ascii="楷体" w:hAnsi="楷体" w:eastAsia="楷体" w:cs="Arial"/>
          <w:color w:val="000000"/>
          <w:kern w:val="0"/>
          <w:sz w:val="32"/>
          <w:szCs w:val="32"/>
        </w:rPr>
      </w:pPr>
      <w:r>
        <w:rPr>
          <w:rFonts w:hint="eastAsia" w:ascii="楷体" w:hAnsi="楷体" w:eastAsia="楷体"/>
          <w:sz w:val="32"/>
          <w:szCs w:val="32"/>
        </w:rPr>
        <w:t>（三）</w:t>
      </w:r>
      <w:r>
        <w:rPr>
          <w:rFonts w:hint="eastAsia" w:ascii="楷体" w:hAnsi="楷体" w:eastAsia="楷体" w:cs="Arial"/>
          <w:color w:val="000000"/>
          <w:kern w:val="0"/>
          <w:sz w:val="32"/>
          <w:szCs w:val="32"/>
        </w:rPr>
        <w:t>支出决算表</w:t>
      </w:r>
    </w:p>
    <w:p>
      <w:pPr>
        <w:spacing w:line="360" w:lineRule="auto"/>
        <w:ind w:firstLine="560" w:firstLineChars="200"/>
        <w:jc w:val="right"/>
        <w:rPr>
          <w:sz w:val="28"/>
          <w:szCs w:val="28"/>
        </w:rPr>
      </w:pPr>
      <w:r>
        <w:rPr>
          <w:rFonts w:hint="eastAsia" w:ascii="宋体" w:hAnsi="宋体" w:eastAsia="宋体" w:cs="Arial"/>
          <w:color w:val="000000"/>
          <w:kern w:val="0"/>
          <w:sz w:val="28"/>
          <w:szCs w:val="28"/>
        </w:rPr>
        <w:t>公开03表</w:t>
      </w:r>
    </w:p>
    <w:p>
      <w:pPr>
        <w:rPr>
          <w:rFonts w:hint="eastAsia" w:ascii="宋体" w:hAnsi="宋体" w:eastAsia="宋体" w:cs="Arial"/>
          <w:color w:val="000000"/>
          <w:kern w:val="0"/>
          <w:sz w:val="28"/>
          <w:szCs w:val="28"/>
        </w:rPr>
      </w:pPr>
      <w:r>
        <w:rPr>
          <w:rFonts w:hint="eastAsia" w:ascii="宋体" w:hAnsi="宋体" w:eastAsia="宋体" w:cs="Arial"/>
          <w:color w:val="000000"/>
          <w:kern w:val="0"/>
          <w:sz w:val="28"/>
          <w:szCs w:val="28"/>
        </w:rPr>
        <w:t>部门：中华人民共和国河源海事局               金额单位：万元</w:t>
      </w:r>
    </w:p>
    <w:tbl>
      <w:tblPr>
        <w:tblStyle w:val="7"/>
        <w:tblpPr w:leftFromText="180" w:rightFromText="180" w:vertAnchor="text" w:horzAnchor="page" w:tblpX="1351" w:tblpY="511"/>
        <w:tblOverlap w:val="never"/>
        <w:tblW w:w="10143" w:type="dxa"/>
        <w:tblInd w:w="0" w:type="dxa"/>
        <w:tblLayout w:type="fixed"/>
        <w:tblCellMar>
          <w:top w:w="0" w:type="dxa"/>
          <w:left w:w="108" w:type="dxa"/>
          <w:bottom w:w="0" w:type="dxa"/>
          <w:right w:w="108" w:type="dxa"/>
        </w:tblCellMar>
      </w:tblPr>
      <w:tblGrid>
        <w:gridCol w:w="436"/>
        <w:gridCol w:w="436"/>
        <w:gridCol w:w="436"/>
        <w:gridCol w:w="2441"/>
        <w:gridCol w:w="1329"/>
        <w:gridCol w:w="1096"/>
        <w:gridCol w:w="1134"/>
        <w:gridCol w:w="992"/>
        <w:gridCol w:w="760"/>
        <w:gridCol w:w="1083"/>
      </w:tblGrid>
      <w:tr>
        <w:tblPrEx>
          <w:tblLayout w:type="fixed"/>
          <w:tblCellMar>
            <w:top w:w="0" w:type="dxa"/>
            <w:left w:w="108" w:type="dxa"/>
            <w:bottom w:w="0" w:type="dxa"/>
            <w:right w:w="108" w:type="dxa"/>
          </w:tblCellMar>
        </w:tblPrEx>
        <w:trPr>
          <w:trHeight w:val="645" w:hRule="atLeast"/>
        </w:trPr>
        <w:tc>
          <w:tcPr>
            <w:tcW w:w="374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32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09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992"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7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083" w:type="dxa"/>
            <w:vMerge w:val="restart"/>
            <w:tcBorders>
              <w:top w:val="single" w:color="000000" w:sz="4" w:space="0"/>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Layout w:type="fixed"/>
          <w:tblCellMar>
            <w:top w:w="0" w:type="dxa"/>
            <w:left w:w="108" w:type="dxa"/>
            <w:bottom w:w="0" w:type="dxa"/>
            <w:right w:w="108" w:type="dxa"/>
          </w:tblCellMar>
        </w:tblPrEx>
        <w:trPr>
          <w:trHeight w:val="312" w:hRule="atLeast"/>
        </w:trPr>
        <w:tc>
          <w:tcPr>
            <w:tcW w:w="130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441"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3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3"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4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3"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4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3" w:type="dxa"/>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420" w:hRule="atLeast"/>
        </w:trPr>
        <w:tc>
          <w:tcPr>
            <w:tcW w:w="436"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32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083"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Layout w:type="fixed"/>
          <w:tblCellMar>
            <w:top w:w="0" w:type="dxa"/>
            <w:left w:w="108" w:type="dxa"/>
            <w:bottom w:w="0" w:type="dxa"/>
            <w:right w:w="108" w:type="dxa"/>
          </w:tblCellMar>
        </w:tblPrEx>
        <w:trPr>
          <w:trHeight w:val="499"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4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1,428.87</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1,359.87</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0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573"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行政单位离退休</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35"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交通运输支出</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1,107.19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1,038.19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21401</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公路水路运输</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1,107.19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1,038.19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573"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2140131</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海事管理</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1,107.19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1,038.19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624"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2210203</w:t>
            </w:r>
          </w:p>
        </w:tc>
        <w:tc>
          <w:tcPr>
            <w:tcW w:w="24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购房补贴</w:t>
            </w:r>
          </w:p>
        </w:tc>
        <w:tc>
          <w:tcPr>
            <w:tcW w:w="13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83" w:type="dxa"/>
            <w:tcBorders>
              <w:top w:val="nil"/>
              <w:left w:val="nil"/>
              <w:bottom w:val="single" w:color="000000" w:sz="4" w:space="0"/>
              <w:right w:val="single" w:color="000000" w:sz="8"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pPr>
        <w:rPr>
          <w:rFonts w:hint="eastAsia" w:ascii="宋体" w:hAnsi="宋体" w:eastAsia="宋体" w:cs="Arial"/>
          <w:color w:val="000000"/>
          <w:kern w:val="0"/>
          <w:sz w:val="28"/>
          <w:szCs w:val="28"/>
        </w:rPr>
      </w:pPr>
    </w:p>
    <w:p>
      <w:pPr>
        <w:spacing w:line="360" w:lineRule="auto"/>
        <w:rPr>
          <w:rFonts w:hint="eastAsia"/>
          <w:sz w:val="24"/>
          <w:szCs w:val="24"/>
        </w:rPr>
      </w:pPr>
      <w:r>
        <w:rPr>
          <w:rFonts w:hint="eastAsia"/>
          <w:sz w:val="22"/>
        </w:rPr>
        <w:t>注：本表反映单位本年度各项支出情况。</w:t>
      </w:r>
    </w:p>
    <w:p>
      <w:pPr>
        <w:spacing w:line="360" w:lineRule="auto"/>
        <w:ind w:firstLine="640" w:firstLineChars="200"/>
        <w:rPr>
          <w:rFonts w:hint="eastAsia" w:ascii="楷体" w:hAnsi="楷体" w:eastAsia="楷体" w:cs="Arial"/>
          <w:color w:val="000000"/>
          <w:kern w:val="0"/>
          <w:sz w:val="32"/>
          <w:szCs w:val="32"/>
        </w:rPr>
      </w:pPr>
      <w:r>
        <w:rPr>
          <w:rFonts w:hint="eastAsia" w:ascii="楷体" w:hAnsi="楷体" w:eastAsia="楷体"/>
          <w:sz w:val="32"/>
          <w:szCs w:val="32"/>
        </w:rPr>
        <w:t>（四）</w:t>
      </w:r>
      <w:r>
        <w:rPr>
          <w:rFonts w:hint="eastAsia" w:ascii="楷体" w:hAnsi="楷体" w:eastAsia="楷体" w:cs="Arial"/>
          <w:color w:val="000000"/>
          <w:kern w:val="0"/>
          <w:sz w:val="32"/>
          <w:szCs w:val="32"/>
        </w:rPr>
        <w:t>财政拨款收入支出决算总表</w:t>
      </w:r>
    </w:p>
    <w:p>
      <w:pPr>
        <w:spacing w:line="360" w:lineRule="auto"/>
        <w:ind w:firstLine="560" w:firstLineChars="200"/>
        <w:jc w:val="right"/>
        <w:rPr>
          <w:sz w:val="28"/>
          <w:szCs w:val="28"/>
        </w:rPr>
      </w:pPr>
      <w:r>
        <w:rPr>
          <w:rFonts w:hint="eastAsia" w:ascii="宋体" w:hAnsi="宋体" w:eastAsia="宋体" w:cs="Arial"/>
          <w:color w:val="000000"/>
          <w:kern w:val="0"/>
          <w:sz w:val="28"/>
          <w:szCs w:val="28"/>
        </w:rPr>
        <w:t>公开04表</w:t>
      </w:r>
    </w:p>
    <w:p>
      <w:pPr>
        <w:rPr>
          <w:rFonts w:hint="eastAsia" w:ascii="宋体" w:hAnsi="宋体" w:eastAsia="宋体" w:cs="Arial"/>
          <w:color w:val="000000"/>
          <w:kern w:val="0"/>
          <w:sz w:val="28"/>
          <w:szCs w:val="28"/>
        </w:rPr>
      </w:pPr>
      <w:r>
        <w:rPr>
          <w:rFonts w:hint="eastAsia" w:ascii="宋体" w:hAnsi="宋体" w:eastAsia="宋体" w:cs="Arial"/>
          <w:color w:val="000000"/>
          <w:kern w:val="0"/>
          <w:sz w:val="28"/>
          <w:szCs w:val="28"/>
        </w:rPr>
        <w:t>部门：中华人民共和国河源海事局               金额单位：万元</w:t>
      </w:r>
    </w:p>
    <w:p>
      <w:pPr>
        <w:rPr>
          <w:rFonts w:hint="eastAsia" w:ascii="宋体" w:hAnsi="宋体" w:eastAsia="宋体" w:cs="Arial"/>
          <w:color w:val="000000"/>
          <w:kern w:val="0"/>
          <w:sz w:val="28"/>
          <w:szCs w:val="28"/>
        </w:rPr>
      </w:pPr>
    </w:p>
    <w:tbl>
      <w:tblPr>
        <w:tblStyle w:val="7"/>
        <w:tblW w:w="8802" w:type="dxa"/>
        <w:tblInd w:w="95" w:type="dxa"/>
        <w:tblLayout w:type="fixed"/>
        <w:tblCellMar>
          <w:top w:w="0" w:type="dxa"/>
          <w:left w:w="108" w:type="dxa"/>
          <w:bottom w:w="0" w:type="dxa"/>
          <w:right w:w="108" w:type="dxa"/>
        </w:tblCellMar>
      </w:tblPr>
      <w:tblGrid>
        <w:gridCol w:w="3280"/>
        <w:gridCol w:w="1269"/>
        <w:gridCol w:w="2835"/>
        <w:gridCol w:w="1418"/>
      </w:tblGrid>
      <w:tr>
        <w:tblPrEx>
          <w:tblLayout w:type="fixed"/>
          <w:tblCellMar>
            <w:top w:w="0" w:type="dxa"/>
            <w:left w:w="108" w:type="dxa"/>
            <w:bottom w:w="0" w:type="dxa"/>
            <w:right w:w="108" w:type="dxa"/>
          </w:tblCellMar>
        </w:tblPrEx>
        <w:trPr>
          <w:trHeight w:val="719" w:hRule="atLeast"/>
        </w:trPr>
        <w:tc>
          <w:tcPr>
            <w:tcW w:w="4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425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Layout w:type="fixed"/>
          <w:tblCellMar>
            <w:top w:w="0" w:type="dxa"/>
            <w:left w:w="108" w:type="dxa"/>
            <w:bottom w:w="0" w:type="dxa"/>
            <w:right w:w="108" w:type="dxa"/>
          </w:tblCellMar>
        </w:tblPrEx>
        <w:trPr>
          <w:trHeight w:val="312" w:hRule="atLeast"/>
        </w:trPr>
        <w:tc>
          <w:tcPr>
            <w:tcW w:w="32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126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28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项目（按功能分类）</w:t>
            </w:r>
          </w:p>
        </w:tc>
        <w:tc>
          <w:tcPr>
            <w:tcW w:w="1418"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一般公共预算财政拨款决算数</w:t>
            </w:r>
          </w:p>
        </w:tc>
      </w:tr>
      <w:tr>
        <w:tblPrEx>
          <w:tblLayout w:type="fixed"/>
          <w:tblCellMar>
            <w:top w:w="0" w:type="dxa"/>
            <w:left w:w="108" w:type="dxa"/>
            <w:bottom w:w="0" w:type="dxa"/>
            <w:right w:w="108" w:type="dxa"/>
          </w:tblCellMar>
        </w:tblPrEx>
        <w:trPr>
          <w:trHeight w:val="378" w:hRule="atLeast"/>
        </w:trPr>
        <w:tc>
          <w:tcPr>
            <w:tcW w:w="3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6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3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1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504"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    次</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    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Layout w:type="fixed"/>
          <w:tblCellMar>
            <w:top w:w="0" w:type="dxa"/>
            <w:left w:w="108" w:type="dxa"/>
            <w:bottom w:w="0" w:type="dxa"/>
            <w:right w:w="108" w:type="dxa"/>
          </w:tblCellMar>
        </w:tblPrEx>
        <w:trPr>
          <w:trHeight w:val="888"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1,003.68</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r>
      <w:tr>
        <w:tblPrEx>
          <w:tblLayout w:type="fixed"/>
          <w:tblCellMar>
            <w:top w:w="0" w:type="dxa"/>
            <w:left w:w="108" w:type="dxa"/>
            <w:bottom w:w="0" w:type="dxa"/>
            <w:right w:w="108" w:type="dxa"/>
          </w:tblCellMar>
        </w:tblPrEx>
        <w:trPr>
          <w:trHeight w:val="698"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r>
      <w:tr>
        <w:tblPrEx>
          <w:tblLayout w:type="fixed"/>
          <w:tblCellMar>
            <w:top w:w="0" w:type="dxa"/>
            <w:left w:w="108" w:type="dxa"/>
            <w:bottom w:w="0" w:type="dxa"/>
            <w:right w:w="108" w:type="dxa"/>
          </w:tblCellMar>
        </w:tblPrEx>
        <w:trPr>
          <w:trHeight w:val="840"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交通运输支出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682.00</w:t>
            </w:r>
          </w:p>
        </w:tc>
      </w:tr>
      <w:tr>
        <w:tblPrEx>
          <w:tblLayout w:type="fixed"/>
          <w:tblCellMar>
            <w:top w:w="0" w:type="dxa"/>
            <w:left w:w="108" w:type="dxa"/>
            <w:bottom w:w="0" w:type="dxa"/>
            <w:right w:w="108" w:type="dxa"/>
          </w:tblCellMar>
        </w:tblPrEx>
        <w:trPr>
          <w:trHeight w:val="701"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r>
      <w:tr>
        <w:tblPrEx>
          <w:tblLayout w:type="fixed"/>
          <w:tblCellMar>
            <w:top w:w="0" w:type="dxa"/>
            <w:left w:w="108" w:type="dxa"/>
            <w:bottom w:w="0" w:type="dxa"/>
            <w:right w:w="108" w:type="dxa"/>
          </w:tblCellMar>
        </w:tblPrEx>
        <w:trPr>
          <w:trHeight w:val="836"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1,003.68</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1,003.68</w:t>
            </w:r>
          </w:p>
        </w:tc>
      </w:tr>
      <w:tr>
        <w:tblPrEx>
          <w:tblLayout w:type="fixed"/>
          <w:tblCellMar>
            <w:top w:w="0" w:type="dxa"/>
            <w:left w:w="108" w:type="dxa"/>
            <w:bottom w:w="0" w:type="dxa"/>
            <w:right w:w="108" w:type="dxa"/>
          </w:tblCellMar>
        </w:tblPrEx>
        <w:trPr>
          <w:trHeight w:val="848"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835"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800"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868" w:hRule="atLeast"/>
        </w:trPr>
        <w:tc>
          <w:tcPr>
            <w:tcW w:w="328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c>
          <w:tcPr>
            <w:tcW w:w="126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1044" w:hRule="atLeast"/>
        </w:trPr>
        <w:tc>
          <w:tcPr>
            <w:tcW w:w="3280" w:type="dxa"/>
            <w:tcBorders>
              <w:top w:val="nil"/>
              <w:left w:val="single" w:color="000000" w:sz="4" w:space="0"/>
              <w:bottom w:val="single" w:color="000000" w:sz="8"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1269"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1,003.68</w:t>
            </w:r>
          </w:p>
        </w:tc>
        <w:tc>
          <w:tcPr>
            <w:tcW w:w="2835" w:type="dxa"/>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1418" w:type="dxa"/>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1,003.68</w:t>
            </w:r>
          </w:p>
        </w:tc>
      </w:tr>
    </w:tbl>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注：本表反映单位本年度一般公共预算财政拨款和政府性基金财政拨款的总收支和年末结转结余情况。</w:t>
      </w:r>
    </w:p>
    <w:p>
      <w:pPr>
        <w:spacing w:line="360" w:lineRule="auto"/>
        <w:ind w:firstLine="640" w:firstLineChars="200"/>
        <w:rPr>
          <w:rFonts w:hint="eastAsia" w:ascii="楷体" w:hAnsi="楷体" w:eastAsia="楷体" w:cs="Arial"/>
          <w:color w:val="000000"/>
          <w:kern w:val="0"/>
          <w:sz w:val="32"/>
          <w:szCs w:val="32"/>
        </w:rPr>
      </w:pPr>
      <w:r>
        <w:rPr>
          <w:rFonts w:hint="eastAsia" w:ascii="楷体" w:hAnsi="楷体" w:eastAsia="楷体"/>
          <w:sz w:val="32"/>
          <w:szCs w:val="32"/>
        </w:rPr>
        <w:t>（五）</w:t>
      </w:r>
      <w:r>
        <w:rPr>
          <w:rFonts w:hint="eastAsia" w:ascii="楷体" w:hAnsi="楷体" w:eastAsia="楷体" w:cs="Arial"/>
          <w:color w:val="000000"/>
          <w:kern w:val="0"/>
          <w:sz w:val="32"/>
          <w:szCs w:val="32"/>
        </w:rPr>
        <w:t>一般公共预算财政拨款支出决算表</w:t>
      </w:r>
    </w:p>
    <w:p>
      <w:pPr>
        <w:spacing w:line="360" w:lineRule="auto"/>
        <w:ind w:firstLine="560" w:firstLineChars="200"/>
        <w:jc w:val="right"/>
        <w:rPr>
          <w:sz w:val="28"/>
          <w:szCs w:val="28"/>
        </w:rPr>
      </w:pPr>
      <w:r>
        <w:rPr>
          <w:rFonts w:hint="eastAsia" w:ascii="宋体" w:hAnsi="宋体" w:eastAsia="宋体" w:cs="Arial"/>
          <w:color w:val="000000"/>
          <w:kern w:val="0"/>
          <w:sz w:val="28"/>
          <w:szCs w:val="28"/>
        </w:rPr>
        <w:t>公开05表</w:t>
      </w:r>
    </w:p>
    <w:p>
      <w:pPr>
        <w:rPr>
          <w:rFonts w:hint="eastAsia" w:ascii="宋体" w:hAnsi="宋体" w:eastAsia="宋体" w:cs="Arial"/>
          <w:color w:val="000000"/>
          <w:kern w:val="0"/>
          <w:sz w:val="28"/>
          <w:szCs w:val="28"/>
        </w:rPr>
      </w:pPr>
      <w:r>
        <w:rPr>
          <w:rFonts w:hint="eastAsia" w:ascii="宋体" w:hAnsi="宋体" w:eastAsia="宋体" w:cs="Arial"/>
          <w:color w:val="000000"/>
          <w:kern w:val="0"/>
          <w:sz w:val="28"/>
          <w:szCs w:val="28"/>
        </w:rPr>
        <w:t>部门：中华人民共和国河源海事局               金额单位：万元</w:t>
      </w:r>
    </w:p>
    <w:p>
      <w:pPr>
        <w:rPr>
          <w:rFonts w:hint="eastAsia" w:ascii="宋体" w:hAnsi="宋体" w:eastAsia="宋体" w:cs="Arial"/>
          <w:color w:val="000000"/>
          <w:kern w:val="0"/>
          <w:sz w:val="28"/>
          <w:szCs w:val="28"/>
        </w:rPr>
      </w:pPr>
    </w:p>
    <w:tbl>
      <w:tblPr>
        <w:tblStyle w:val="7"/>
        <w:tblW w:w="8802" w:type="dxa"/>
        <w:tblInd w:w="95" w:type="dxa"/>
        <w:tblLayout w:type="fixed"/>
        <w:tblCellMar>
          <w:top w:w="0" w:type="dxa"/>
          <w:left w:w="108" w:type="dxa"/>
          <w:bottom w:w="0" w:type="dxa"/>
          <w:right w:w="108" w:type="dxa"/>
        </w:tblCellMar>
      </w:tblPr>
      <w:tblGrid>
        <w:gridCol w:w="560"/>
        <w:gridCol w:w="560"/>
        <w:gridCol w:w="560"/>
        <w:gridCol w:w="2728"/>
        <w:gridCol w:w="1559"/>
        <w:gridCol w:w="1559"/>
        <w:gridCol w:w="1276"/>
      </w:tblGrid>
      <w:tr>
        <w:tblPrEx>
          <w:tblLayout w:type="fixed"/>
          <w:tblCellMar>
            <w:top w:w="0" w:type="dxa"/>
            <w:left w:w="108" w:type="dxa"/>
            <w:bottom w:w="0" w:type="dxa"/>
            <w:right w:w="108" w:type="dxa"/>
          </w:tblCellMar>
        </w:tblPrEx>
        <w:trPr>
          <w:trHeight w:val="432" w:hRule="atLeast"/>
        </w:trPr>
        <w:tc>
          <w:tcPr>
            <w:tcW w:w="16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439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Layout w:type="fixed"/>
          <w:tblCellMar>
            <w:top w:w="0" w:type="dxa"/>
            <w:left w:w="108" w:type="dxa"/>
            <w:bottom w:w="0" w:type="dxa"/>
            <w:right w:w="108" w:type="dxa"/>
          </w:tblCellMar>
        </w:tblPrEx>
        <w:trPr>
          <w:trHeight w:val="312" w:hRule="atLeast"/>
        </w:trPr>
        <w:tc>
          <w:tcPr>
            <w:tcW w:w="16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2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Layout w:type="fixed"/>
          <w:tblCellMar>
            <w:top w:w="0" w:type="dxa"/>
            <w:left w:w="108" w:type="dxa"/>
            <w:bottom w:w="0" w:type="dxa"/>
            <w:right w:w="108" w:type="dxa"/>
          </w:tblCellMar>
        </w:tblPrEx>
        <w:trPr>
          <w:trHeight w:val="432" w:hRule="atLeast"/>
        </w:trPr>
        <w:tc>
          <w:tcPr>
            <w:tcW w:w="16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2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2"/>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5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5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72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59"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1,072.68</w:t>
            </w:r>
          </w:p>
        </w:tc>
        <w:tc>
          <w:tcPr>
            <w:tcW w:w="1559"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1,003.68</w:t>
            </w:r>
          </w:p>
        </w:tc>
        <w:tc>
          <w:tcPr>
            <w:tcW w:w="1276"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r>
      <w:tr>
        <w:tblPrEx>
          <w:tblLayout w:type="fixed"/>
          <w:tblCellMar>
            <w:top w:w="0" w:type="dxa"/>
            <w:left w:w="108" w:type="dxa"/>
            <w:bottom w:w="0" w:type="dxa"/>
            <w:right w:w="108" w:type="dxa"/>
          </w:tblCellMar>
        </w:tblPrEx>
        <w:trPr>
          <w:trHeight w:val="312" w:hRule="atLeast"/>
        </w:trPr>
        <w:tc>
          <w:tcPr>
            <w:tcW w:w="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5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5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72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5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行政单位离退休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交通运输支出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751.00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682.00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21401</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公路水路运输</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751.00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682.00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2140131</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海事管理</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751.00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682.00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69.00</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684" w:hRule="atLeast"/>
        </w:trPr>
        <w:tc>
          <w:tcPr>
            <w:tcW w:w="168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2210203</w:t>
            </w:r>
          </w:p>
        </w:tc>
        <w:tc>
          <w:tcPr>
            <w:tcW w:w="272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购房补贴</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85.00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注：本表反映单位本年度一般公共预算财政拨款支出情况。</w:t>
      </w:r>
    </w:p>
    <w:p>
      <w:pPr>
        <w:spacing w:line="360" w:lineRule="auto"/>
        <w:ind w:firstLine="640" w:firstLineChars="200"/>
        <w:rPr>
          <w:rFonts w:hint="eastAsia" w:ascii="楷体" w:hAnsi="楷体" w:eastAsia="楷体" w:cs="Arial"/>
          <w:color w:val="000000"/>
          <w:kern w:val="0"/>
          <w:sz w:val="32"/>
          <w:szCs w:val="32"/>
        </w:rPr>
      </w:pPr>
      <w:r>
        <w:rPr>
          <w:rFonts w:hint="eastAsia" w:ascii="楷体" w:hAnsi="楷体" w:eastAsia="楷体"/>
          <w:sz w:val="32"/>
          <w:szCs w:val="32"/>
        </w:rPr>
        <w:t>（六）</w:t>
      </w:r>
      <w:r>
        <w:rPr>
          <w:rFonts w:hint="eastAsia" w:ascii="楷体" w:hAnsi="楷体" w:eastAsia="楷体" w:cs="Arial"/>
          <w:color w:val="000000"/>
          <w:kern w:val="0"/>
          <w:sz w:val="32"/>
          <w:szCs w:val="32"/>
        </w:rPr>
        <w:t>一般公共预算财政拨款基本支出决算表</w:t>
      </w:r>
    </w:p>
    <w:p>
      <w:pPr>
        <w:spacing w:line="360" w:lineRule="auto"/>
        <w:ind w:firstLine="560" w:firstLineChars="200"/>
        <w:jc w:val="right"/>
        <w:rPr>
          <w:sz w:val="28"/>
          <w:szCs w:val="28"/>
        </w:rPr>
      </w:pPr>
      <w:r>
        <w:rPr>
          <w:rFonts w:hint="eastAsia" w:ascii="宋体" w:hAnsi="宋体" w:eastAsia="宋体" w:cs="Arial"/>
          <w:color w:val="000000"/>
          <w:kern w:val="0"/>
          <w:sz w:val="28"/>
          <w:szCs w:val="28"/>
        </w:rPr>
        <w:t>公开06表</w:t>
      </w:r>
    </w:p>
    <w:p>
      <w:pPr>
        <w:rPr>
          <w:rFonts w:hint="eastAsia" w:ascii="宋体" w:hAnsi="宋体" w:eastAsia="宋体" w:cs="Arial"/>
          <w:color w:val="000000"/>
          <w:kern w:val="0"/>
          <w:sz w:val="28"/>
          <w:szCs w:val="28"/>
        </w:rPr>
      </w:pPr>
      <w:r>
        <w:rPr>
          <w:rFonts w:hint="eastAsia" w:ascii="宋体" w:hAnsi="宋体" w:eastAsia="宋体" w:cs="Arial"/>
          <w:color w:val="000000"/>
          <w:kern w:val="0"/>
          <w:sz w:val="28"/>
          <w:szCs w:val="28"/>
        </w:rPr>
        <w:t>部门：中华人民共和国河源海事局               金额单位：万元</w:t>
      </w:r>
    </w:p>
    <w:tbl>
      <w:tblPr>
        <w:tblStyle w:val="7"/>
        <w:tblW w:w="9511" w:type="dxa"/>
        <w:tblInd w:w="95" w:type="dxa"/>
        <w:tblLayout w:type="fixed"/>
        <w:tblCellMar>
          <w:top w:w="0" w:type="dxa"/>
          <w:left w:w="108" w:type="dxa"/>
          <w:bottom w:w="0" w:type="dxa"/>
          <w:right w:w="108" w:type="dxa"/>
        </w:tblCellMar>
      </w:tblPr>
      <w:tblGrid>
        <w:gridCol w:w="1060"/>
        <w:gridCol w:w="2497"/>
        <w:gridCol w:w="1134"/>
        <w:gridCol w:w="1079"/>
        <w:gridCol w:w="222"/>
        <w:gridCol w:w="2157"/>
        <w:gridCol w:w="369"/>
        <w:gridCol w:w="993"/>
      </w:tblGrid>
      <w:tr>
        <w:tblPrEx>
          <w:tblLayout w:type="fixed"/>
          <w:tblCellMar>
            <w:top w:w="0" w:type="dxa"/>
            <w:left w:w="108" w:type="dxa"/>
            <w:bottom w:w="0" w:type="dxa"/>
            <w:right w:w="108" w:type="dxa"/>
          </w:tblCellMar>
        </w:tblPrEx>
        <w:trPr>
          <w:trHeight w:val="567" w:hRule="atLeast"/>
        </w:trPr>
        <w:tc>
          <w:tcPr>
            <w:tcW w:w="4691" w:type="dxa"/>
            <w:gridSpan w:val="3"/>
            <w:tcBorders>
              <w:top w:val="single" w:color="000000" w:sz="8" w:space="0"/>
              <w:left w:val="single" w:color="000000" w:sz="8" w:space="0"/>
              <w:bottom w:val="single" w:color="000000" w:sz="8" w:space="0"/>
              <w:right w:val="single" w:color="000000" w:sz="8"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4820" w:type="dxa"/>
            <w:gridSpan w:val="5"/>
            <w:tcBorders>
              <w:top w:val="single" w:color="000000" w:sz="8" w:space="0"/>
              <w:left w:val="nil"/>
              <w:bottom w:val="single" w:color="000000" w:sz="8" w:space="0"/>
              <w:right w:val="single" w:color="000000" w:sz="8"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Layout w:type="fixed"/>
          <w:tblCellMar>
            <w:top w:w="0" w:type="dxa"/>
            <w:left w:w="108" w:type="dxa"/>
            <w:bottom w:w="0" w:type="dxa"/>
            <w:right w:w="108" w:type="dxa"/>
          </w:tblCellMar>
        </w:tblPrEx>
        <w:trPr>
          <w:trHeight w:val="312" w:hRule="atLeast"/>
        </w:trPr>
        <w:tc>
          <w:tcPr>
            <w:tcW w:w="1060" w:type="dxa"/>
            <w:vMerge w:val="restart"/>
            <w:tcBorders>
              <w:top w:val="nil"/>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2497" w:type="dxa"/>
            <w:vMerge w:val="restart"/>
            <w:tcBorders>
              <w:top w:val="nil"/>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34" w:type="dxa"/>
            <w:vMerge w:val="restart"/>
            <w:tcBorders>
              <w:top w:val="nil"/>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130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25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93" w:type="dxa"/>
            <w:vMerge w:val="restart"/>
            <w:tcBorders>
              <w:top w:val="nil"/>
              <w:left w:val="single" w:color="000000" w:sz="8" w:space="0"/>
              <w:bottom w:val="single" w:color="000000" w:sz="8" w:space="0"/>
              <w:right w:val="single" w:color="000000" w:sz="8"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Layout w:type="fixed"/>
          <w:tblCellMar>
            <w:top w:w="0" w:type="dxa"/>
            <w:left w:w="108" w:type="dxa"/>
            <w:bottom w:w="0" w:type="dxa"/>
            <w:right w:w="108" w:type="dxa"/>
          </w:tblCellMar>
        </w:tblPrEx>
        <w:trPr>
          <w:trHeight w:val="312" w:hRule="atLeast"/>
        </w:trPr>
        <w:tc>
          <w:tcPr>
            <w:tcW w:w="10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249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301"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252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99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654.15</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273.79</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126.76</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6.18</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342.73</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0.58</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13.51</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0.61</w:t>
            </w:r>
          </w:p>
        </w:tc>
      </w:tr>
      <w:tr>
        <w:tblPrEx>
          <w:tblLayout w:type="fixed"/>
          <w:tblCellMar>
            <w:top w:w="0" w:type="dxa"/>
            <w:left w:w="108" w:type="dxa"/>
            <w:bottom w:w="0" w:type="dxa"/>
            <w:right w:w="108" w:type="dxa"/>
          </w:tblCellMar>
        </w:tblPrEx>
        <w:trPr>
          <w:trHeight w:val="696"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2497" w:type="dxa"/>
            <w:tcBorders>
              <w:top w:val="nil"/>
              <w:left w:val="nil"/>
              <w:bottom w:val="single" w:color="000000" w:sz="8" w:space="0"/>
              <w:right w:val="single" w:color="000000" w:sz="8"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 xml:space="preserve">  养老保险缴费</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8.62</w:t>
            </w:r>
          </w:p>
        </w:tc>
      </w:tr>
      <w:tr>
        <w:tblPrEx>
          <w:tblLayout w:type="fixed"/>
          <w:tblCellMar>
            <w:top w:w="0" w:type="dxa"/>
            <w:left w:w="108" w:type="dxa"/>
            <w:bottom w:w="0" w:type="dxa"/>
            <w:right w:w="108" w:type="dxa"/>
          </w:tblCellMar>
        </w:tblPrEx>
        <w:trPr>
          <w:trHeight w:val="611"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28.49</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15.02</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30111</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35.68</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0.12</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30113</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11.08</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65.53</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13.52</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48.77</w:t>
            </w:r>
          </w:p>
        </w:tc>
        <w:tc>
          <w:tcPr>
            <w:tcW w:w="1079" w:type="dxa"/>
            <w:tcBorders>
              <w:top w:val="nil"/>
              <w:left w:val="nil"/>
              <w:bottom w:val="single" w:color="000000" w:sz="8" w:space="0"/>
              <w:right w:val="nil"/>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222"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5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10.71</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16.76</w:t>
            </w:r>
          </w:p>
        </w:tc>
        <w:tc>
          <w:tcPr>
            <w:tcW w:w="1079" w:type="dxa"/>
            <w:tcBorders>
              <w:top w:val="nil"/>
              <w:left w:val="nil"/>
              <w:bottom w:val="single" w:color="000000" w:sz="8" w:space="0"/>
              <w:right w:val="nil"/>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222"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7" w:type="dxa"/>
            <w:tcBorders>
              <w:top w:val="nil"/>
              <w:left w:val="nil"/>
              <w:bottom w:val="single" w:color="000000" w:sz="8" w:space="0"/>
              <w:right w:val="nil"/>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369"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46.69</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9" w:type="dxa"/>
            <w:tcBorders>
              <w:top w:val="nil"/>
              <w:left w:val="nil"/>
              <w:bottom w:val="single" w:color="000000" w:sz="8" w:space="0"/>
              <w:right w:val="nil"/>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222"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5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7.29</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9" w:type="dxa"/>
            <w:tcBorders>
              <w:top w:val="nil"/>
              <w:left w:val="nil"/>
              <w:bottom w:val="single" w:color="000000" w:sz="8" w:space="0"/>
              <w:right w:val="nil"/>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222"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7" w:type="dxa"/>
            <w:tcBorders>
              <w:top w:val="nil"/>
              <w:left w:val="nil"/>
              <w:bottom w:val="single" w:color="000000" w:sz="8" w:space="0"/>
              <w:right w:val="nil"/>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369"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7.75</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16.81</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9" w:type="dxa"/>
            <w:tcBorders>
              <w:top w:val="nil"/>
              <w:left w:val="nil"/>
              <w:bottom w:val="single" w:color="000000" w:sz="8" w:space="0"/>
              <w:right w:val="nil"/>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222"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526" w:type="dxa"/>
            <w:gridSpan w:val="2"/>
            <w:tcBorders>
              <w:top w:val="single" w:color="000000" w:sz="8" w:space="0"/>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50.42</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78.39</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资本性支出</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10.21</w:t>
            </w:r>
          </w:p>
        </w:tc>
      </w:tr>
      <w:tr>
        <w:tblPrEx>
          <w:tblLayout w:type="fixed"/>
          <w:tblCellMar>
            <w:top w:w="0" w:type="dxa"/>
            <w:left w:w="108" w:type="dxa"/>
            <w:bottom w:w="0" w:type="dxa"/>
            <w:right w:w="108" w:type="dxa"/>
          </w:tblCellMar>
        </w:tblPrEx>
        <w:trPr>
          <w:trHeight w:val="504" w:hRule="atLeast"/>
        </w:trPr>
        <w:tc>
          <w:tcPr>
            <w:tcW w:w="1060" w:type="dxa"/>
            <w:tcBorders>
              <w:top w:val="nil"/>
              <w:left w:val="single" w:color="000000" w:sz="8" w:space="0"/>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97" w:type="dxa"/>
            <w:tcBorders>
              <w:top w:val="nil"/>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01"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2526" w:type="dxa"/>
            <w:gridSpan w:val="2"/>
            <w:tcBorders>
              <w:top w:val="single" w:color="000000" w:sz="8" w:space="0"/>
              <w:left w:val="nil"/>
              <w:bottom w:val="single" w:color="000000" w:sz="8" w:space="0"/>
              <w:right w:val="single" w:color="000000" w:sz="8"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w:t>
            </w:r>
          </w:p>
        </w:tc>
      </w:tr>
      <w:tr>
        <w:tblPrEx>
          <w:tblLayout w:type="fixed"/>
          <w:tblCellMar>
            <w:top w:w="0" w:type="dxa"/>
            <w:left w:w="108" w:type="dxa"/>
            <w:bottom w:w="0" w:type="dxa"/>
            <w:right w:w="108" w:type="dxa"/>
          </w:tblCellMar>
        </w:tblPrEx>
        <w:trPr>
          <w:trHeight w:val="504" w:hRule="atLeast"/>
        </w:trPr>
        <w:tc>
          <w:tcPr>
            <w:tcW w:w="3557" w:type="dxa"/>
            <w:gridSpan w:val="2"/>
            <w:tcBorders>
              <w:top w:val="single" w:color="000000" w:sz="8" w:space="0"/>
              <w:left w:val="single" w:color="000000" w:sz="8" w:space="0"/>
              <w:bottom w:val="single" w:color="000000" w:sz="8" w:space="0"/>
              <w:right w:val="single" w:color="000000" w:sz="8"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134"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719.68</w:t>
            </w:r>
          </w:p>
        </w:tc>
        <w:tc>
          <w:tcPr>
            <w:tcW w:w="3827" w:type="dxa"/>
            <w:gridSpan w:val="4"/>
            <w:tcBorders>
              <w:top w:val="single" w:color="000000" w:sz="8" w:space="0"/>
              <w:left w:val="nil"/>
              <w:bottom w:val="single" w:color="000000" w:sz="8" w:space="0"/>
              <w:right w:val="single" w:color="000000" w:sz="8"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993" w:type="dxa"/>
            <w:tcBorders>
              <w:top w:val="nil"/>
              <w:left w:val="nil"/>
              <w:bottom w:val="single" w:color="000000" w:sz="8" w:space="0"/>
              <w:right w:val="single" w:color="000000" w:sz="8" w:space="0"/>
            </w:tcBorders>
            <w:shd w:val="clear" w:color="auto" w:fill="auto"/>
            <w:noWrap/>
            <w:vAlign w:val="bottom"/>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284.00</w:t>
            </w:r>
          </w:p>
        </w:tc>
      </w:tr>
    </w:tbl>
    <w:p>
      <w:pPr>
        <w:rPr>
          <w:rFonts w:hint="eastAsia"/>
        </w:rPr>
      </w:pPr>
      <w:r>
        <w:rPr>
          <w:rFonts w:hint="eastAsia"/>
          <w:sz w:val="22"/>
        </w:rPr>
        <w:t>注：本表反映单位本年度一般公共预算财政拨款基本支出明细情况。</w:t>
      </w:r>
    </w:p>
    <w:p>
      <w:pPr>
        <w:spacing w:line="360" w:lineRule="auto"/>
        <w:ind w:firstLine="640" w:firstLineChars="200"/>
        <w:rPr>
          <w:rFonts w:hint="eastAsia" w:ascii="楷体" w:hAnsi="楷体" w:eastAsia="楷体" w:cs="Arial"/>
          <w:color w:val="000000"/>
          <w:kern w:val="0"/>
          <w:sz w:val="32"/>
          <w:szCs w:val="32"/>
        </w:rPr>
      </w:pPr>
      <w:r>
        <w:rPr>
          <w:rFonts w:hint="eastAsia" w:ascii="楷体" w:hAnsi="楷体" w:eastAsia="楷体"/>
          <w:sz w:val="32"/>
          <w:szCs w:val="32"/>
        </w:rPr>
        <w:t>（七）</w:t>
      </w:r>
      <w:r>
        <w:rPr>
          <w:rFonts w:hint="eastAsia" w:ascii="楷体" w:hAnsi="楷体" w:eastAsia="楷体" w:cs="Arial"/>
          <w:color w:val="000000"/>
          <w:kern w:val="0"/>
          <w:sz w:val="32"/>
          <w:szCs w:val="32"/>
        </w:rPr>
        <w:t>一般公共预算财政拨款“三公”经费支出决算表</w:t>
      </w:r>
    </w:p>
    <w:p>
      <w:pPr>
        <w:spacing w:line="360" w:lineRule="auto"/>
        <w:ind w:firstLine="560" w:firstLineChars="200"/>
        <w:jc w:val="right"/>
        <w:rPr>
          <w:sz w:val="28"/>
          <w:szCs w:val="28"/>
        </w:rPr>
      </w:pPr>
      <w:r>
        <w:rPr>
          <w:rFonts w:hint="eastAsia" w:ascii="宋体" w:hAnsi="宋体" w:eastAsia="宋体" w:cs="Arial"/>
          <w:color w:val="000000"/>
          <w:kern w:val="0"/>
          <w:sz w:val="28"/>
          <w:szCs w:val="28"/>
        </w:rPr>
        <w:t>公开07表</w:t>
      </w:r>
    </w:p>
    <w:p>
      <w:pPr>
        <w:rPr>
          <w:rFonts w:hint="eastAsia" w:ascii="宋体" w:hAnsi="宋体" w:eastAsia="宋体" w:cs="Arial"/>
          <w:color w:val="000000"/>
          <w:kern w:val="0"/>
          <w:sz w:val="28"/>
          <w:szCs w:val="28"/>
        </w:rPr>
      </w:pPr>
      <w:r>
        <w:rPr>
          <w:rFonts w:hint="eastAsia" w:ascii="宋体" w:hAnsi="宋体" w:eastAsia="宋体" w:cs="Arial"/>
          <w:color w:val="000000"/>
          <w:kern w:val="0"/>
          <w:sz w:val="28"/>
          <w:szCs w:val="28"/>
        </w:rPr>
        <w:t>部门：中华人民共和国河源海事局               金额单位：万元</w:t>
      </w:r>
    </w:p>
    <w:tbl>
      <w:tblPr>
        <w:tblStyle w:val="7"/>
        <w:tblpPr w:leftFromText="180" w:rightFromText="180" w:vertAnchor="text" w:horzAnchor="page" w:tblpX="1682" w:tblpY="585"/>
        <w:tblOverlap w:val="never"/>
        <w:tblW w:w="9900" w:type="dxa"/>
        <w:tblInd w:w="0" w:type="dxa"/>
        <w:tblLayout w:type="fixed"/>
        <w:tblCellMar>
          <w:top w:w="0" w:type="dxa"/>
          <w:left w:w="108" w:type="dxa"/>
          <w:bottom w:w="0" w:type="dxa"/>
          <w:right w:w="108" w:type="dxa"/>
        </w:tblCellMar>
      </w:tblPr>
      <w:tblGrid>
        <w:gridCol w:w="1006"/>
        <w:gridCol w:w="850"/>
        <w:gridCol w:w="709"/>
        <w:gridCol w:w="857"/>
        <w:gridCol w:w="919"/>
        <w:gridCol w:w="656"/>
        <w:gridCol w:w="771"/>
        <w:gridCol w:w="876"/>
        <w:gridCol w:w="766"/>
        <w:gridCol w:w="902"/>
        <w:gridCol w:w="816"/>
        <w:gridCol w:w="772"/>
      </w:tblGrid>
      <w:tr>
        <w:tblPrEx>
          <w:tblLayout w:type="fixed"/>
          <w:tblCellMar>
            <w:top w:w="0" w:type="dxa"/>
            <w:left w:w="108" w:type="dxa"/>
            <w:bottom w:w="0" w:type="dxa"/>
            <w:right w:w="108" w:type="dxa"/>
          </w:tblCellMar>
        </w:tblPrEx>
        <w:trPr>
          <w:trHeight w:val="893" w:hRule="atLeast"/>
        </w:trPr>
        <w:tc>
          <w:tcPr>
            <w:tcW w:w="4997"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2020年度预算数</w:t>
            </w:r>
          </w:p>
        </w:tc>
        <w:tc>
          <w:tcPr>
            <w:tcW w:w="4903" w:type="dxa"/>
            <w:gridSpan w:val="6"/>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2020年度决算数</w:t>
            </w:r>
          </w:p>
        </w:tc>
      </w:tr>
      <w:tr>
        <w:tblPrEx>
          <w:tblLayout w:type="fixed"/>
          <w:tblCellMar>
            <w:top w:w="0" w:type="dxa"/>
            <w:left w:w="108" w:type="dxa"/>
            <w:bottom w:w="0" w:type="dxa"/>
            <w:right w:w="108" w:type="dxa"/>
          </w:tblCellMar>
        </w:tblPrEx>
        <w:trPr>
          <w:trHeight w:val="816" w:hRule="atLeast"/>
        </w:trPr>
        <w:tc>
          <w:tcPr>
            <w:tcW w:w="100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8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2485"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c>
          <w:tcPr>
            <w:tcW w:w="77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87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2484"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77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Layout w:type="fixed"/>
          <w:tblCellMar>
            <w:top w:w="0" w:type="dxa"/>
            <w:left w:w="108" w:type="dxa"/>
            <w:bottom w:w="0" w:type="dxa"/>
            <w:right w:w="108" w:type="dxa"/>
          </w:tblCellMar>
        </w:tblPrEx>
        <w:trPr>
          <w:trHeight w:val="1273" w:hRule="atLeast"/>
        </w:trPr>
        <w:tc>
          <w:tcPr>
            <w:tcW w:w="100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8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9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65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77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87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76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90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772"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1108" w:hRule="atLeast"/>
        </w:trPr>
        <w:tc>
          <w:tcPr>
            <w:tcW w:w="1006" w:type="dxa"/>
            <w:tcBorders>
              <w:top w:val="nil"/>
              <w:left w:val="single" w:color="000000" w:sz="8" w:space="0"/>
              <w:bottom w:val="single" w:color="000000" w:sz="8" w:space="0"/>
              <w:right w:val="single" w:color="000000" w:sz="8" w:space="0"/>
            </w:tcBorders>
            <w:shd w:val="clear" w:color="auto" w:fill="auto"/>
            <w:vAlign w:val="center"/>
          </w:tcPr>
          <w:p>
            <w:pPr>
              <w:widowControl/>
              <w:ind w:firstLine="221" w:firstLineChars="100"/>
              <w:jc w:val="center"/>
              <w:rPr>
                <w:rFonts w:ascii="宋体" w:hAnsi="宋体" w:eastAsia="宋体" w:cs="Arial"/>
                <w:b/>
                <w:bCs/>
                <w:color w:val="000000"/>
                <w:kern w:val="0"/>
                <w:sz w:val="22"/>
              </w:rPr>
            </w:pPr>
            <w:r>
              <w:rPr>
                <w:rFonts w:hint="eastAsia" w:ascii="宋体" w:hAnsi="宋体" w:eastAsia="宋体" w:cs="Arial"/>
                <w:b/>
                <w:bCs/>
                <w:color w:val="000000"/>
                <w:kern w:val="0"/>
                <w:sz w:val="22"/>
              </w:rPr>
              <w:t>17.05</w:t>
            </w:r>
          </w:p>
        </w:tc>
        <w:tc>
          <w:tcPr>
            <w:tcW w:w="8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0</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16.9</w:t>
            </w:r>
          </w:p>
        </w:tc>
        <w:tc>
          <w:tcPr>
            <w:tcW w:w="8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0</w:t>
            </w:r>
          </w:p>
        </w:tc>
        <w:tc>
          <w:tcPr>
            <w:tcW w:w="9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16.9</w:t>
            </w:r>
          </w:p>
        </w:tc>
        <w:tc>
          <w:tcPr>
            <w:tcW w:w="65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0.15</w:t>
            </w:r>
          </w:p>
        </w:tc>
        <w:tc>
          <w:tcPr>
            <w:tcW w:w="77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16.81</w:t>
            </w:r>
          </w:p>
        </w:tc>
        <w:tc>
          <w:tcPr>
            <w:tcW w:w="8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0</w:t>
            </w:r>
          </w:p>
        </w:tc>
        <w:tc>
          <w:tcPr>
            <w:tcW w:w="76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16.81</w:t>
            </w:r>
          </w:p>
        </w:tc>
        <w:tc>
          <w:tcPr>
            <w:tcW w:w="90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0</w:t>
            </w:r>
          </w:p>
        </w:tc>
        <w:tc>
          <w:tcPr>
            <w:tcW w:w="8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16.81</w:t>
            </w:r>
          </w:p>
        </w:tc>
        <w:tc>
          <w:tcPr>
            <w:tcW w:w="77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kern w:val="0"/>
                <w:sz w:val="22"/>
              </w:rPr>
            </w:pPr>
          </w:p>
        </w:tc>
      </w:tr>
    </w:tbl>
    <w:p>
      <w:pPr>
        <w:rPr>
          <w:rFonts w:hint="eastAsia" w:ascii="宋体" w:hAnsi="宋体" w:eastAsia="宋体" w:cs="Arial"/>
          <w:color w:val="000000"/>
          <w:kern w:val="0"/>
          <w:sz w:val="28"/>
          <w:szCs w:val="28"/>
        </w:rPr>
      </w:pPr>
    </w:p>
    <w:p>
      <w:pPr>
        <w:rPr>
          <w:rFonts w:hint="eastAsia" w:asciiTheme="minorEastAsia" w:hAnsiTheme="minorEastAsia"/>
          <w:sz w:val="22"/>
        </w:rPr>
      </w:pPr>
      <w:r>
        <w:rPr>
          <w:rFonts w:hint="eastAsia" w:asciiTheme="minorEastAsia" w:hAnsiTheme="minorEastAsia"/>
          <w:sz w:val="22"/>
        </w:rPr>
        <w:t>注：本表反映单位本年度“三公”经费支出预决算情况。</w:t>
      </w: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rPr>
          <w:rFonts w:hint="eastAsia" w:asciiTheme="minorEastAsia" w:hAnsiTheme="minorEastAsia"/>
          <w:sz w:val="22"/>
        </w:rPr>
      </w:pP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三、河源海事局2020年度部门决算情况说明</w:t>
      </w:r>
    </w:p>
    <w:p>
      <w:pPr>
        <w:spacing w:line="360" w:lineRule="auto"/>
        <w:ind w:firstLine="640" w:firstLineChars="200"/>
        <w:rPr>
          <w:rFonts w:hint="eastAsia" w:ascii="楷体" w:hAnsi="楷体" w:eastAsia="楷体"/>
          <w:sz w:val="32"/>
          <w:szCs w:val="32"/>
        </w:rPr>
      </w:pPr>
      <w:r>
        <w:rPr>
          <w:rFonts w:hint="eastAsia" w:ascii="楷体" w:hAnsi="楷体" w:eastAsia="楷体"/>
          <w:sz w:val="32"/>
          <w:szCs w:val="32"/>
        </w:rPr>
        <w:t>（一）收支情况总体说明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河源海事局2020年收支总决算1470.70万元，其中：</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1.收入总计1470.70万元。包括：</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（1）财政拨款收入1003.68万元，为中央财政当年拨付的资金，较2019年决算数增加28.3万元，增长2.90%。</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（2）其他收入163.33万元，为我局在本级财政拨款收入、事业收入、经营收入、附属单位上缴收入等之外取得的收入。较2019年决算数增加52.38万元，增长47.21%。</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（3）上年结转和结余303.69万元，为本单位以前年度尚未完成、结转到本年仍按原用途继续使用的资金。</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2.支出总计1470.70万元。包括： </w:t>
      </w:r>
    </w:p>
    <w:p>
      <w:pPr>
        <w:ind w:firstLine="640" w:firstLineChars="200"/>
        <w:rPr>
          <w:rFonts w:ascii="仿宋_GB2312" w:hAnsi="宋体" w:eastAsia="仿宋_GB2312"/>
          <w:sz w:val="32"/>
          <w:szCs w:val="32"/>
        </w:rPr>
      </w:pPr>
      <w:r>
        <w:rPr>
          <w:rFonts w:hint="eastAsia" w:ascii="仿宋_GB2312" w:hAnsi="宋体" w:eastAsia="仿宋_GB2312"/>
          <w:sz w:val="32"/>
          <w:szCs w:val="32"/>
        </w:rPr>
        <w:t>（1）社会保障和就业支出151万元，主要用于本单位退休人员经费、机关事业单位基本养老保险缴费及职业年金等支出。较2019年决算数增加59.23万元，增幅64.54%。</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（2）卫生健康支出35.68万元，主要用于本单位职工缴纳的基本医疗保险保险费等费用。较2019年决算数增加4.37万元，增幅13.96%</w:t>
      </w:r>
    </w:p>
    <w:p>
      <w:pPr>
        <w:ind w:firstLine="640" w:firstLineChars="200"/>
        <w:rPr>
          <w:rFonts w:ascii="仿宋_GB2312" w:hAnsi="宋体" w:eastAsia="仿宋_GB2312"/>
          <w:sz w:val="32"/>
          <w:szCs w:val="32"/>
        </w:rPr>
      </w:pPr>
      <w:r>
        <w:rPr>
          <w:rFonts w:hint="eastAsia" w:ascii="仿宋_GB2312" w:hAnsi="宋体" w:eastAsia="仿宋_GB2312"/>
          <w:sz w:val="32"/>
          <w:szCs w:val="32"/>
        </w:rPr>
        <w:t>（3）交通运输支出1107.19万元，主要用于本单位行政管理等方面的支出。较2019年决算数增加265.21万元，增幅31.5%</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（4）住房保障支出135万元，主要用于按照国家政策规定为职工缴纳和发放的住房公积金、购房补贴等住房改革方面的支出。较2019年决算数增加32万元，增幅31.07%</w:t>
      </w:r>
    </w:p>
    <w:p>
      <w:pPr>
        <w:ind w:firstLine="640" w:firstLineChars="200"/>
        <w:rPr>
          <w:rFonts w:ascii="仿宋_GB2312" w:hAnsi="宋体" w:eastAsia="仿宋_GB2312"/>
          <w:sz w:val="32"/>
          <w:szCs w:val="32"/>
        </w:r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（5）年末结转和结余41.83万元。为当年尚未完成、结转到下一年度仍按原用途继续使用的资金。</w:t>
      </w:r>
    </w:p>
    <w:p>
      <w:pPr>
        <w:ind w:firstLine="640" w:firstLineChars="200"/>
        <w:rPr>
          <w:rFonts w:hint="eastAsia" w:ascii="楷体" w:hAnsi="楷体" w:eastAsia="楷体"/>
          <w:sz w:val="32"/>
          <w:szCs w:val="32"/>
        </w:rPr>
      </w:pPr>
      <w:r>
        <w:rPr>
          <w:rFonts w:hint="eastAsia" w:ascii="楷体" w:hAnsi="楷体" w:eastAsia="楷体"/>
          <w:sz w:val="32"/>
          <w:szCs w:val="32"/>
        </w:rPr>
        <w:t>（二）收入决算情况说明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河源海事局2020年收入决算1167.01万元。其中：财政拨款收入1003.68万元，占86.00%；其他收入163.33万元，占14.00%。</w:t>
      </w:r>
    </w:p>
    <w:p>
      <w:pPr>
        <w:ind w:firstLine="640" w:firstLineChars="200"/>
        <w:rPr>
          <w:rFonts w:hint="eastAsia" w:ascii="楷体" w:hAnsi="楷体" w:eastAsia="楷体"/>
          <w:sz w:val="32"/>
          <w:szCs w:val="32"/>
        </w:rPr>
      </w:pPr>
      <w:r>
        <w:rPr>
          <w:rFonts w:hint="eastAsia" w:ascii="楷体" w:hAnsi="楷体" w:eastAsia="楷体"/>
          <w:sz w:val="32"/>
          <w:szCs w:val="32"/>
        </w:rPr>
        <w:t>（三）支出决算情况说明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河源海事局2020年支出决算1428.87万元，其中：基本支出1359.87万元，占95.17%；项目支出69万元，占4.83%。</w:t>
      </w:r>
    </w:p>
    <w:p>
      <w:pPr>
        <w:ind w:firstLine="640" w:firstLineChars="200"/>
        <w:rPr>
          <w:rFonts w:ascii="楷体" w:hAnsi="楷体" w:eastAsia="楷体"/>
          <w:sz w:val="32"/>
          <w:szCs w:val="32"/>
        </w:rPr>
      </w:pPr>
      <w:r>
        <w:rPr>
          <w:rFonts w:hint="eastAsia" w:ascii="楷体" w:hAnsi="楷体" w:eastAsia="楷体"/>
          <w:sz w:val="32"/>
          <w:szCs w:val="32"/>
        </w:rPr>
        <w:t>（四）财政拨款收入支出决算总体情况说明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河源海事局2020年度财政拨款收、支总计1003.68万元。</w:t>
      </w:r>
    </w:p>
    <w:p>
      <w:pPr>
        <w:ind w:firstLine="640" w:firstLineChars="200"/>
        <w:rPr>
          <w:rFonts w:ascii="楷体" w:hAnsi="楷体" w:eastAsia="楷体"/>
          <w:sz w:val="32"/>
          <w:szCs w:val="32"/>
        </w:rPr>
      </w:pPr>
      <w:r>
        <w:rPr>
          <w:rFonts w:hint="eastAsia" w:ascii="楷体" w:hAnsi="楷体" w:eastAsia="楷体"/>
          <w:sz w:val="32"/>
          <w:szCs w:val="32"/>
        </w:rPr>
        <w:t>（五）一般公共预算财政拨款支出决算情况说明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河源海事局2020年一般公共预算财政拨款支出决算反映财政拨款总体支出情况，既包括使用本年从中央财政取得的财政拨款发生的支出，也包括使用以前年度财政拨款结转和结余资金发生的支出。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1.财政拨款支出决算变化情况。河源海事局2020年财政拨款支出1003.68万元，占本年支出总计70.24%。支出比2019年增加28.3万元，增幅2.90%。</w:t>
      </w:r>
    </w:p>
    <w:p>
      <w:pPr>
        <w:ind w:firstLine="640" w:firstLineChars="200"/>
        <w:rPr>
          <w:rFonts w:ascii="仿宋_GB2312" w:hAnsi="宋体" w:eastAsia="仿宋_GB2312"/>
          <w:sz w:val="32"/>
          <w:szCs w:val="32"/>
        </w:rPr>
      </w:pPr>
      <w:r>
        <w:rPr>
          <w:rFonts w:hint="eastAsia" w:ascii="仿宋_GB2312" w:hAnsi="宋体" w:eastAsia="仿宋_GB2312"/>
          <w:sz w:val="32"/>
          <w:szCs w:val="32"/>
        </w:rPr>
        <w:t>2.财政拨款支出决算构成情况。河源海事局2020年财政拨款用于以下方面：交通运输支出682万元，占67.95%；社会保障和就业支出151万元，占15.05%；住房保障支出135万元，占13.45%；卫生健康支出35.68万元，占3.55%。</w:t>
      </w:r>
    </w:p>
    <w:p>
      <w:pPr>
        <w:ind w:firstLine="640" w:firstLineChars="200"/>
        <w:rPr>
          <w:rFonts w:ascii="仿宋_GB2312" w:hAnsi="宋体" w:eastAsia="仿宋_GB2312"/>
          <w:sz w:val="32"/>
          <w:szCs w:val="32"/>
        </w:rPr>
      </w:pPr>
      <w:r>
        <w:rPr>
          <w:rFonts w:hint="eastAsia" w:ascii="仿宋_GB2312" w:hAnsi="宋体" w:eastAsia="仿宋_GB2312"/>
          <w:sz w:val="32"/>
          <w:szCs w:val="32"/>
        </w:rPr>
        <w:t>3.财政拨款支出具体情况。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2020年度财政拨款支出年初预算为958.68万元，支出决算为1003.68万元，完成年初预算的104.69%。其中：</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（1）社会保障和就业支出（类）</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行政事业单位养老支出（款）行政单位离退休（项）。年初预算为151万元，支出决算为151万元，完成2020年年初预算的100%。</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（2）卫生健康（类）</w:t>
      </w:r>
    </w:p>
    <w:p>
      <w:pPr>
        <w:ind w:firstLine="640" w:firstLineChars="200"/>
        <w:rPr>
          <w:rFonts w:ascii="仿宋_GB2312" w:hAnsi="宋体" w:eastAsia="仿宋_GB2312"/>
          <w:sz w:val="32"/>
          <w:szCs w:val="32"/>
        </w:rPr>
      </w:pPr>
      <w:r>
        <w:rPr>
          <w:rFonts w:hint="eastAsia" w:ascii="仿宋_GB2312" w:hAnsi="宋体" w:eastAsia="仿宋_GB2312"/>
          <w:sz w:val="32"/>
          <w:szCs w:val="32"/>
        </w:rPr>
        <w:t>行政事业单位医疗（款）行政单位医疗（项）。年初预算为35.68万元，支出决算为35.68万元，完成2020年年初预算的100%。</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（3）交通运输支出（类）</w:t>
      </w:r>
    </w:p>
    <w:p>
      <w:pPr>
        <w:ind w:firstLine="640" w:firstLineChars="200"/>
        <w:rPr>
          <w:rFonts w:ascii="仿宋_GB2312" w:hAnsi="宋体" w:eastAsia="仿宋_GB2312"/>
          <w:sz w:val="32"/>
          <w:szCs w:val="32"/>
        </w:rPr>
      </w:pPr>
      <w:r>
        <w:rPr>
          <w:rFonts w:hint="eastAsia" w:ascii="仿宋_GB2312" w:hAnsi="宋体" w:eastAsia="仿宋_GB2312"/>
          <w:sz w:val="32"/>
          <w:szCs w:val="32"/>
        </w:rPr>
        <w:t>公路水路运输（款）海事管理（项）。年初预算为667万元，支出决算为682万元，完成2020年年初预算的102.25%。决算数大于年初预算数主要原因是年中追加预算，增加海事系统在职人员经费。</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（4）住房保障支出（类）</w:t>
      </w:r>
    </w:p>
    <w:p>
      <w:pPr>
        <w:ind w:firstLine="640" w:firstLineChars="200"/>
        <w:rPr>
          <w:rFonts w:ascii="仿宋_GB2312" w:hAnsi="宋体" w:eastAsia="仿宋_GB2312"/>
          <w:sz w:val="32"/>
          <w:szCs w:val="32"/>
        </w:rPr>
      </w:pPr>
      <w:r>
        <w:rPr>
          <w:rFonts w:hint="eastAsia" w:ascii="仿宋_GB2312" w:hAnsi="宋体" w:eastAsia="仿宋_GB2312"/>
          <w:sz w:val="32"/>
          <w:szCs w:val="32"/>
        </w:rPr>
        <w:t>住房改革支出（款）住房公积金（项）。年初预算为50万元，支出决算为50万元，完成2020年年初预算的100%。</w:t>
      </w:r>
    </w:p>
    <w:p>
      <w:pPr>
        <w:ind w:firstLine="640" w:firstLineChars="200"/>
        <w:rPr>
          <w:rFonts w:ascii="仿宋_GB2312" w:hAnsi="宋体" w:eastAsia="仿宋_GB2312"/>
          <w:sz w:val="32"/>
          <w:szCs w:val="32"/>
        </w:rPr>
      </w:pPr>
      <w:r>
        <w:rPr>
          <w:rFonts w:hint="eastAsia" w:ascii="仿宋_GB2312" w:hAnsi="宋体" w:eastAsia="仿宋_GB2312"/>
          <w:sz w:val="32"/>
          <w:szCs w:val="32"/>
        </w:rPr>
        <w:t>住房保障支出（类）住房改革支出（款）购房补贴（项）。年初预算为55万元，支出决算为85万元，完成2020年年初预算的154.55%。决算数大于年初预算数主要原因年中追加预算，调整海事系统在职人员购房补贴标准。</w:t>
      </w:r>
    </w:p>
    <w:p>
      <w:pPr>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（六）一般公共预算财政拨款</w:t>
      </w:r>
      <w:r>
        <w:rPr>
          <w:rFonts w:ascii="楷体" w:hAnsi="楷体" w:eastAsia="楷体"/>
          <w:color w:val="000000" w:themeColor="text1"/>
          <w:sz w:val="32"/>
          <w:szCs w:val="32"/>
        </w:rPr>
        <w:t>基本</w:t>
      </w:r>
      <w:r>
        <w:rPr>
          <w:rFonts w:hint="eastAsia" w:ascii="楷体" w:hAnsi="楷体" w:eastAsia="楷体"/>
          <w:color w:val="000000" w:themeColor="text1"/>
          <w:sz w:val="32"/>
          <w:szCs w:val="32"/>
        </w:rPr>
        <w:t>支出决算情况说明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河源海事局2020年一般公共预算财政拨款基本支出1003.68万元，其中：人员经费719.68万元，主要包括：基本工资、津贴补贴、奖金、机关事业单位基本养老保险缴费、职业年金缴费、住房公积金、退休费；日常公用经费284万元，主要包括：办公费、印刷费、水费、电费、邮电费、物业管理费、差旅费、维修费、公务接待费、专用材料费、劳务费、工会经费、福利费、公务用车运行维护费、其他交通费用、其他商品和服务支出、办公设备购置。</w:t>
      </w:r>
    </w:p>
    <w:p>
      <w:pPr>
        <w:ind w:firstLine="640" w:firstLineChars="200"/>
        <w:rPr>
          <w:rFonts w:ascii="仿宋_GB2312" w:hAnsi="宋体" w:eastAsia="仿宋_GB2312"/>
          <w:sz w:val="32"/>
          <w:szCs w:val="32"/>
        </w:rPr>
      </w:pPr>
      <w:r>
        <w:rPr>
          <w:rFonts w:hint="eastAsia" w:ascii="仿宋_GB2312" w:hAnsi="宋体" w:eastAsia="仿宋_GB2312"/>
          <w:sz w:val="32"/>
          <w:szCs w:val="32"/>
        </w:rPr>
        <w:t>（七）</w:t>
      </w:r>
      <w:r>
        <w:rPr>
          <w:rFonts w:hint="eastAsia" w:ascii="楷体" w:hAnsi="楷体" w:eastAsia="楷体"/>
          <w:color w:val="000000" w:themeColor="text1"/>
          <w:sz w:val="32"/>
          <w:szCs w:val="32"/>
        </w:rPr>
        <w:t>一般公共预算财政拨款“三公”经费支出决算情况说明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1.“三公”经费财政拨款支出决算总体情况说明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河源海事局一般公共预算财政拨款“三公”经费支出预算为17.05万元，支出决算为16.81万元，完成预算的98.59%。决算数小于预算数的主要原因：一是受疫情影响，部分工作未按计划开展；二是认真贯彻落实中央八项规定精神和厉行节约要求，从严控制“三公”经费开支。</w:t>
      </w:r>
    </w:p>
    <w:p>
      <w:pPr>
        <w:ind w:firstLine="640" w:firstLineChars="200"/>
        <w:rPr>
          <w:rFonts w:ascii="仿宋_GB2312" w:hAnsi="宋体" w:eastAsia="仿宋_GB2312"/>
          <w:sz w:val="32"/>
          <w:szCs w:val="32"/>
        </w:rPr>
      </w:pPr>
      <w:r>
        <w:rPr>
          <w:rFonts w:hint="eastAsia" w:ascii="仿宋_GB2312" w:hAnsi="宋体" w:eastAsia="仿宋_GB2312"/>
          <w:sz w:val="32"/>
          <w:szCs w:val="32"/>
        </w:rPr>
        <w:t>2.“三公”经费财政拨款支出决算具体情况说明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（1）因公出国（境）费0万元，与年初预算一致。</w:t>
      </w:r>
    </w:p>
    <w:p>
      <w:pPr>
        <w:ind w:firstLine="640" w:firstLineChars="200"/>
        <w:rPr>
          <w:rFonts w:ascii="仿宋_GB2312" w:hAnsi="宋体" w:eastAsia="仿宋_GB2312"/>
          <w:sz w:val="32"/>
          <w:szCs w:val="32"/>
        </w:rPr>
      </w:pPr>
      <w:r>
        <w:rPr>
          <w:rFonts w:hint="eastAsia" w:ascii="仿宋_GB2312" w:hAnsi="宋体" w:eastAsia="仿宋_GB2312"/>
          <w:sz w:val="32"/>
          <w:szCs w:val="32"/>
        </w:rPr>
        <w:t>（2）公务用车购置费0万元，与年初预算一致。</w:t>
      </w:r>
    </w:p>
    <w:p>
      <w:pPr>
        <w:ind w:firstLine="640" w:firstLineChars="200"/>
        <w:rPr>
          <w:rFonts w:ascii="仿宋_GB2312" w:hAnsi="宋体" w:eastAsia="仿宋_GB2312"/>
          <w:sz w:val="32"/>
          <w:szCs w:val="32"/>
        </w:rPr>
      </w:pPr>
      <w:r>
        <w:rPr>
          <w:rFonts w:hint="eastAsia" w:ascii="仿宋_GB2312" w:hAnsi="宋体" w:eastAsia="仿宋_GB2312"/>
          <w:sz w:val="32"/>
          <w:szCs w:val="32"/>
        </w:rPr>
        <w:t>（3）公务用车运行费16.81万元，完成年初预算99.47%。主要是按规定保留的公务用车的燃料费、维修费、过桥过路费、保险费等支出。截止2020年12月31日，开支财政拨款的公务用车保有量为4辆，平均每辆运行费支出4.20万元。</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公务接待费0万元，完成年初预算的0%。主要原因包括：一是认真贯彻落实党中央、国务院厉行节约的精神和关于改进作风、密切联系群众的八项规定，切实采取措施严格控制和压缩“三公”经费相关支出；二是受疫情影响，本年度无接待。</w:t>
      </w:r>
    </w:p>
    <w:p>
      <w:pPr>
        <w:ind w:firstLine="640" w:firstLineChars="200"/>
        <w:rPr>
          <w:rFonts w:ascii="仿宋_GB2312" w:hAnsi="宋体" w:eastAsia="仿宋_GB2312"/>
          <w:sz w:val="32"/>
          <w:szCs w:val="32"/>
        </w:rPr>
      </w:pPr>
      <w:r>
        <w:rPr>
          <w:rFonts w:hint="eastAsia" w:ascii="仿宋_GB2312" w:hAnsi="宋体" w:eastAsia="仿宋_GB2312"/>
          <w:sz w:val="32"/>
          <w:szCs w:val="32"/>
        </w:rPr>
        <w:t>（八）其他重要事项情况说明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1.机关运行经费支出说明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河源海事局2020年度机关运行经费支出215万元，比2019年度减少53万元，下降19.78%，主要原因是落实过紧日子要求，压缩机关运行经费开支。</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2.政府采购情况 </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河源海事局2020年政府采购支出总额7.23万元，其中：政府采购货物支出7.23万元、政府采购工程支出0万元、政府采购服务支出0万元。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3.国有资产占有使用情况 </w:t>
      </w:r>
    </w:p>
    <w:p>
      <w:pPr>
        <w:widowControl/>
        <w:ind w:firstLine="800" w:firstLineChars="250"/>
        <w:jc w:val="left"/>
        <w:rPr>
          <w:rFonts w:hint="eastAsia" w:ascii="仿宋_GB2312" w:hAnsi="宋体" w:eastAsia="仿宋_GB2312"/>
          <w:sz w:val="32"/>
          <w:szCs w:val="32"/>
        </w:rPr>
      </w:pPr>
      <w:r>
        <w:rPr>
          <w:rFonts w:hint="eastAsia" w:ascii="仿宋_GB2312" w:hAnsi="宋体" w:eastAsia="仿宋_GB2312"/>
          <w:color w:val="000000" w:themeColor="text1"/>
          <w:sz w:val="32"/>
          <w:szCs w:val="32"/>
        </w:rPr>
        <w:t>截至2020年12月31日，河源海事局共有车辆4辆，其中，机要通信用车1辆、执法执勤用2辆、特种专业技术用车1辆。单位价值50万元以上专用设</w:t>
      </w:r>
      <w:r>
        <w:rPr>
          <w:rFonts w:hint="eastAsia" w:ascii="仿宋_GB2312" w:hAnsi="宋体" w:eastAsia="仿宋_GB2312"/>
          <w:sz w:val="32"/>
          <w:szCs w:val="32"/>
        </w:rPr>
        <w:t>备0台（套）。单位价值100万元以上专用设备6台（套）。</w:t>
      </w:r>
    </w:p>
    <w:p>
      <w:pPr>
        <w:ind w:firstLine="640" w:firstLineChars="200"/>
        <w:rPr>
          <w:rFonts w:ascii="仿宋_GB2312" w:hAnsi="宋体" w:eastAsia="仿宋_GB2312"/>
          <w:sz w:val="32"/>
          <w:szCs w:val="32"/>
        </w:rPr>
      </w:pPr>
      <w:r>
        <w:rPr>
          <w:rFonts w:hint="eastAsia" w:ascii="仿宋_GB2312" w:hAnsi="宋体" w:eastAsia="仿宋_GB2312"/>
          <w:sz w:val="32"/>
          <w:szCs w:val="32"/>
        </w:rPr>
        <w:t>（九）预算绩效情况说明</w:t>
      </w:r>
    </w:p>
    <w:p>
      <w:pPr>
        <w:widowControl/>
        <w:ind w:firstLine="800" w:firstLineChars="250"/>
        <w:jc w:val="left"/>
        <w:rPr>
          <w:rFonts w:ascii="仿宋_GB2312" w:hAnsi="宋体" w:eastAsia="仿宋_GB2312"/>
          <w:sz w:val="32"/>
          <w:szCs w:val="32"/>
        </w:rPr>
      </w:pPr>
      <w:r>
        <w:rPr>
          <w:rFonts w:hint="eastAsia" w:ascii="仿宋_GB2312" w:hAnsi="宋体" w:eastAsia="仿宋_GB2312"/>
          <w:sz w:val="32"/>
          <w:szCs w:val="32"/>
        </w:rPr>
        <w:t>根据预算绩效管理要求，珠海海事局组织对2020年度一般公共预算项目及政府性基金预算项目支出全面开展绩效自评，共涉及二级项目4个、项目资金965万元，占一般公共预算项目支出总额的100%；政府性基金预算项目1个、项目资金109万元，占政府性基金预算项目支出总额的100%。珠海海事局严格按照财政批复执行项目预算资金，各项目财政资金完成率均为100%，基本完成各项目实施目标。</w:t>
      </w:r>
    </w:p>
    <w:p>
      <w:pPr>
        <w:pStyle w:val="8"/>
        <w:ind w:left="720" w:firstLine="0" w:firstLineChars="0"/>
        <w:rPr>
          <w:rFonts w:ascii="黑体" w:hAnsi="黑体" w:eastAsia="黑体"/>
          <w:sz w:val="32"/>
          <w:szCs w:val="32"/>
        </w:rPr>
      </w:pPr>
      <w:r>
        <w:rPr>
          <w:rFonts w:hint="eastAsia" w:ascii="黑体" w:hAnsi="黑体" w:eastAsia="黑体"/>
          <w:sz w:val="32"/>
          <w:szCs w:val="32"/>
        </w:rPr>
        <w:t>四、名词解释</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（一）一般公共预算财政拨款收入：指中央财政当年拨付的资金。</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（二）其他收入：指除上述一般公共预算财政拨款收入、事业收入、事业单位经营收入等以外的收入。主要是存款利息收入等。</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（三）年初结转和结余：指单位以前年度尚未完成、结转到本年仍按原规定用途继续使用的资金，或项目已完成等产生的结余资金。</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（四）社会保障和就业支出（类）行政事业单位养老支出（款）机关事业单位基本养老保险缴费支出（项）：反映机关事业单位实施养老保险制度由单位缴纳的基本养老保险费支出。</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（五）社会保障和就业支出（类）行政事业单位养老支出（款）机关事业单位职业年金缴费支出（项）：反映机关事业单位实施养老保险制度由单位缴纳的职业年金支出。</w:t>
      </w:r>
    </w:p>
    <w:p>
      <w:pPr>
        <w:spacing w:line="500" w:lineRule="exact"/>
        <w:ind w:firstLine="640" w:firstLineChars="200"/>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（六）社会保障和就业支出（类）行政事业单位养老支出（款）机关事业单位职业年金缴费支出（项）行政单位离退休（项）：指用于行政单位离退休经费的基本支出。</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（七）卫生健康支出（类）行政事业单位医疗（款）行政单位医疗（项）：反映中央财政安排的行政单位（包括参照公务员法管理事业单位）基本医疗保险缴费经费，未参加医疗保险的行政单位的公费医疗经费。</w:t>
      </w:r>
    </w:p>
    <w:p>
      <w:pPr>
        <w:spacing w:line="500" w:lineRule="exact"/>
        <w:ind w:firstLine="640" w:firstLineChars="200"/>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（八）交通运输支出（类）公路水路运输（款）海事管理（项）： 指用于海事执法和安全管理方面的支出。</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（九）住房保障支出（类）住房改革支出（款）住房公积金（项）：反映行政事业单位按人力资源和社会保障部、财政部规定的基本工资和津贴补贴以及规定比例为职工缴纳的住房公积金。</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（十）住房保障支出（类）住房改革支出（款）购房补贴（项）：反映按房改政策规定，行政事业单位向符合条件职工（含离退休人员）发放的用于购买住房的补贴。</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（十一）年末结转和结余：指单位按有关规定结转到下年或以后年度继续使用的资金，或项目已完成等产生的结余资金。</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（十二）基本支出：指为保障机构正常运转、完成日常工作任务而发生的人员支出和公用支出。</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（十三）项目支出：指在基本支出之外为完成特定行政任务或事业发展目标所发生的支出。</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四）“三公”经费：纳入中央财政预决算管理的“三公”经费，指中央部门用财政拨款安排的因公出国（境）费、公务用车购置及运行费和公务接待费。其中公务用车购置及运行费反映单位公务用车车辆购置支出（含车辆购置税）及燃料费、维修费、过桥过路费、保险费、安全奖励费用等支出；公务接待费反映单位按规定开支的各类公务接待（含外宾接待）支出。</w:t>
      </w:r>
    </w:p>
    <w:p>
      <w:pPr>
        <w:autoSpaceDE w:val="0"/>
        <w:autoSpaceDN w:val="0"/>
        <w:adjustRightInd w:val="0"/>
        <w:ind w:firstLine="640" w:firstLineChars="200"/>
        <w:jc w:val="left"/>
        <w:rPr>
          <w:rFonts w:hint="eastAsia"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五）机关运行经费：指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jc w:val="left"/>
        <w:rPr>
          <w:sz w:val="32"/>
          <w:szCs w:val="32"/>
        </w:rPr>
      </w:pPr>
    </w:p>
    <w:sectPr>
      <w:footerReference r:id="rId3" w:type="default"/>
      <w:pgSz w:w="11850" w:h="16783"/>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686549"/>
      <w:docPartObj>
        <w:docPartGallery w:val="AutoText"/>
      </w:docPartObj>
    </w:sdtPr>
    <w:sdtContent>
      <w:p>
        <w:pPr>
          <w:pStyle w:val="4"/>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3CC8"/>
    <w:rsid w:val="00002D5C"/>
    <w:rsid w:val="00010BA4"/>
    <w:rsid w:val="00016B6B"/>
    <w:rsid w:val="00066783"/>
    <w:rsid w:val="0008742D"/>
    <w:rsid w:val="00090EE0"/>
    <w:rsid w:val="0009440F"/>
    <w:rsid w:val="000B10D8"/>
    <w:rsid w:val="000C012B"/>
    <w:rsid w:val="000C16E9"/>
    <w:rsid w:val="000D7140"/>
    <w:rsid w:val="00101708"/>
    <w:rsid w:val="001118A8"/>
    <w:rsid w:val="00130C89"/>
    <w:rsid w:val="001477A0"/>
    <w:rsid w:val="0017275F"/>
    <w:rsid w:val="001778E6"/>
    <w:rsid w:val="001D7BFC"/>
    <w:rsid w:val="002029E5"/>
    <w:rsid w:val="00221057"/>
    <w:rsid w:val="00235A75"/>
    <w:rsid w:val="002611CE"/>
    <w:rsid w:val="002753C0"/>
    <w:rsid w:val="002B693C"/>
    <w:rsid w:val="002D4921"/>
    <w:rsid w:val="002E461D"/>
    <w:rsid w:val="002E5A0A"/>
    <w:rsid w:val="002F65A3"/>
    <w:rsid w:val="002F72C7"/>
    <w:rsid w:val="00303ADB"/>
    <w:rsid w:val="00322B48"/>
    <w:rsid w:val="003301BC"/>
    <w:rsid w:val="00336401"/>
    <w:rsid w:val="003448E8"/>
    <w:rsid w:val="00354A18"/>
    <w:rsid w:val="00364DD9"/>
    <w:rsid w:val="003775A5"/>
    <w:rsid w:val="00377B71"/>
    <w:rsid w:val="0038564B"/>
    <w:rsid w:val="003963D5"/>
    <w:rsid w:val="003B5AD3"/>
    <w:rsid w:val="003B78A0"/>
    <w:rsid w:val="003B7BA9"/>
    <w:rsid w:val="003C06A4"/>
    <w:rsid w:val="003D7F8C"/>
    <w:rsid w:val="00414ED9"/>
    <w:rsid w:val="00415DA7"/>
    <w:rsid w:val="00431A52"/>
    <w:rsid w:val="004376ED"/>
    <w:rsid w:val="004577EC"/>
    <w:rsid w:val="0047228D"/>
    <w:rsid w:val="00476DD3"/>
    <w:rsid w:val="00480ED1"/>
    <w:rsid w:val="004B4114"/>
    <w:rsid w:val="004D0C32"/>
    <w:rsid w:val="004F2C59"/>
    <w:rsid w:val="00503CC8"/>
    <w:rsid w:val="00514256"/>
    <w:rsid w:val="00555ECB"/>
    <w:rsid w:val="00564510"/>
    <w:rsid w:val="0059686D"/>
    <w:rsid w:val="005E1948"/>
    <w:rsid w:val="005E197D"/>
    <w:rsid w:val="005F13B8"/>
    <w:rsid w:val="00604C68"/>
    <w:rsid w:val="006142A9"/>
    <w:rsid w:val="00641568"/>
    <w:rsid w:val="00643D24"/>
    <w:rsid w:val="00656476"/>
    <w:rsid w:val="00674FC3"/>
    <w:rsid w:val="006843C1"/>
    <w:rsid w:val="00685744"/>
    <w:rsid w:val="0069686C"/>
    <w:rsid w:val="00696B26"/>
    <w:rsid w:val="006B3A08"/>
    <w:rsid w:val="006C2F47"/>
    <w:rsid w:val="006D25B9"/>
    <w:rsid w:val="006D2B3B"/>
    <w:rsid w:val="006F3BA3"/>
    <w:rsid w:val="00702E8B"/>
    <w:rsid w:val="00734FF3"/>
    <w:rsid w:val="007946EB"/>
    <w:rsid w:val="007B3854"/>
    <w:rsid w:val="007D7FB9"/>
    <w:rsid w:val="00837FCA"/>
    <w:rsid w:val="00860D54"/>
    <w:rsid w:val="008904DA"/>
    <w:rsid w:val="00892436"/>
    <w:rsid w:val="008952A8"/>
    <w:rsid w:val="008B0A11"/>
    <w:rsid w:val="008B304E"/>
    <w:rsid w:val="008B6E7A"/>
    <w:rsid w:val="008C0243"/>
    <w:rsid w:val="008C332B"/>
    <w:rsid w:val="008C414C"/>
    <w:rsid w:val="008E1595"/>
    <w:rsid w:val="00916370"/>
    <w:rsid w:val="009164BC"/>
    <w:rsid w:val="00926C93"/>
    <w:rsid w:val="009315A2"/>
    <w:rsid w:val="00976278"/>
    <w:rsid w:val="009769DE"/>
    <w:rsid w:val="009772D0"/>
    <w:rsid w:val="009B7164"/>
    <w:rsid w:val="009D2A5C"/>
    <w:rsid w:val="009D329F"/>
    <w:rsid w:val="009E2A0C"/>
    <w:rsid w:val="00A0086D"/>
    <w:rsid w:val="00A34226"/>
    <w:rsid w:val="00A36E07"/>
    <w:rsid w:val="00A43C68"/>
    <w:rsid w:val="00A62A66"/>
    <w:rsid w:val="00A66F55"/>
    <w:rsid w:val="00A83520"/>
    <w:rsid w:val="00A91AE1"/>
    <w:rsid w:val="00A9224D"/>
    <w:rsid w:val="00A93E01"/>
    <w:rsid w:val="00AC3E43"/>
    <w:rsid w:val="00AD1776"/>
    <w:rsid w:val="00AE2D01"/>
    <w:rsid w:val="00AE7EAD"/>
    <w:rsid w:val="00B14EBD"/>
    <w:rsid w:val="00B3052C"/>
    <w:rsid w:val="00B30A7D"/>
    <w:rsid w:val="00B329C6"/>
    <w:rsid w:val="00B437AA"/>
    <w:rsid w:val="00B54BF4"/>
    <w:rsid w:val="00B65EC3"/>
    <w:rsid w:val="00B75C59"/>
    <w:rsid w:val="00B90192"/>
    <w:rsid w:val="00BB3562"/>
    <w:rsid w:val="00BC042D"/>
    <w:rsid w:val="00BE7ECC"/>
    <w:rsid w:val="00C02D13"/>
    <w:rsid w:val="00C05271"/>
    <w:rsid w:val="00C12FFF"/>
    <w:rsid w:val="00C20D13"/>
    <w:rsid w:val="00C332C6"/>
    <w:rsid w:val="00C572C8"/>
    <w:rsid w:val="00C74F08"/>
    <w:rsid w:val="00CB589D"/>
    <w:rsid w:val="00CB7354"/>
    <w:rsid w:val="00CC4749"/>
    <w:rsid w:val="00D378B9"/>
    <w:rsid w:val="00D40A29"/>
    <w:rsid w:val="00D42AF5"/>
    <w:rsid w:val="00D726CE"/>
    <w:rsid w:val="00D91444"/>
    <w:rsid w:val="00DA0A26"/>
    <w:rsid w:val="00DD15E1"/>
    <w:rsid w:val="00DE35A1"/>
    <w:rsid w:val="00E34D50"/>
    <w:rsid w:val="00E62D86"/>
    <w:rsid w:val="00E7457A"/>
    <w:rsid w:val="00EC056E"/>
    <w:rsid w:val="00ED3EC7"/>
    <w:rsid w:val="00ED4B3A"/>
    <w:rsid w:val="00ED72E6"/>
    <w:rsid w:val="00EE68B5"/>
    <w:rsid w:val="00F024DA"/>
    <w:rsid w:val="00F06DA9"/>
    <w:rsid w:val="00F11DF4"/>
    <w:rsid w:val="00F24621"/>
    <w:rsid w:val="00F86A31"/>
    <w:rsid w:val="00F969E4"/>
    <w:rsid w:val="00FA675D"/>
    <w:rsid w:val="00FB356C"/>
    <w:rsid w:val="00FC2351"/>
    <w:rsid w:val="00FC3B9B"/>
    <w:rsid w:val="54B0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5"/>
    <w:semiHidden/>
    <w:uiPriority w:val="99"/>
    <w:rPr>
      <w:sz w:val="18"/>
      <w:szCs w:val="18"/>
    </w:rPr>
  </w:style>
  <w:style w:type="character" w:customStyle="1" w:styleId="10">
    <w:name w:val="页脚 Char"/>
    <w:basedOn w:val="6"/>
    <w:link w:val="4"/>
    <w:uiPriority w:val="99"/>
    <w:rPr>
      <w:sz w:val="18"/>
      <w:szCs w:val="18"/>
    </w:rPr>
  </w:style>
  <w:style w:type="paragraph" w:customStyle="1" w:styleId="11">
    <w:name w:val="Defaul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character" w:customStyle="1" w:styleId="12">
    <w:name w:val="标题 1 Char"/>
    <w:basedOn w:val="6"/>
    <w:link w:val="2"/>
    <w:uiPriority w:val="9"/>
    <w:rPr>
      <w:b/>
      <w:bCs/>
      <w:kern w:val="44"/>
      <w:sz w:val="44"/>
      <w:szCs w:val="44"/>
    </w:rPr>
  </w:style>
  <w:style w:type="character" w:customStyle="1" w:styleId="13">
    <w:name w:val="标题 2 Char"/>
    <w:basedOn w:val="6"/>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B80C0-CC3B-47C4-B78A-85E40AAF52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1391</Words>
  <Characters>7932</Characters>
  <Lines>66</Lines>
  <Paragraphs>18</Paragraphs>
  <TotalTime>2</TotalTime>
  <ScaleCrop>false</ScaleCrop>
  <LinksUpToDate>false</LinksUpToDate>
  <CharactersWithSpaces>9305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2021-08-30T06:20:00Z</dcterms:created>
  <dc:creator>张瑞</dc:creator>
  <cp:lastModifiedBy>高炳火</cp:lastModifiedBy>
  <cp:lastPrinted>2021-09-14T09:41:25Z</cp:lastPrinted>
  <dcterms:modified xsi:type="dcterms:W3CDTF">2021-09-14T09:41:42Z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